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292F" w14:textId="37E6FD2A" w:rsidR="00FE7685" w:rsidRPr="00FE7685" w:rsidRDefault="00E53E45">
      <w:pPr>
        <w:pStyle w:val="berschrift1"/>
        <w:jc w:val="center"/>
        <w:rPr>
          <w:sz w:val="52"/>
          <w:szCs w:val="52"/>
        </w:rPr>
      </w:pPr>
      <w:bookmarkStart w:id="0" w:name="_Toc216792260"/>
      <w:r w:rsidRPr="00FE7685">
        <w:rPr>
          <w:sz w:val="52"/>
          <w:szCs w:val="52"/>
        </w:rPr>
        <w:t>Report: Metadata Interoperability in the BioMed Consortium</w:t>
      </w:r>
      <w:bookmarkEnd w:id="0"/>
    </w:p>
    <w:p w14:paraId="338AF48C" w14:textId="45E43784" w:rsidR="00FE7685" w:rsidRDefault="00FE7685">
      <w:r>
        <w:br w:type="page"/>
      </w:r>
    </w:p>
    <w:p w14:paraId="5F3293F3" w14:textId="77777777" w:rsidR="00FE7685" w:rsidRDefault="00FE7685" w:rsidP="00FE7685">
      <w:pPr>
        <w:jc w:val="both"/>
      </w:pPr>
    </w:p>
    <w:sdt>
      <w:sdtPr>
        <w:rPr>
          <w:lang w:val="de-DE"/>
        </w:rPr>
        <w:id w:val="132107079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sdtEndPr>
      <w:sdtContent>
        <w:p w14:paraId="1866ACB1" w14:textId="6A594421" w:rsidR="00FE7685" w:rsidRDefault="00FE7685">
          <w:pPr>
            <w:pStyle w:val="Inhaltsverzeichnisberschrift"/>
          </w:pPr>
          <w:r>
            <w:rPr>
              <w:lang w:val="de-DE"/>
            </w:rPr>
            <w:t>Content</w:t>
          </w:r>
        </w:p>
        <w:p w14:paraId="62D92F4D" w14:textId="7FBD9B2C" w:rsidR="00FE7685" w:rsidRDefault="00FE7685">
          <w:pPr>
            <w:pStyle w:val="Verzeichnis1"/>
            <w:tabs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792260" w:history="1">
            <w:r w:rsidRPr="008D40D9">
              <w:rPr>
                <w:rStyle w:val="Hyperlink"/>
                <w:noProof/>
              </w:rPr>
              <w:t>Report: Metadata Interoperability in the BioMed Consortium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8886C" w14:textId="32F5BCE5" w:rsidR="00FE7685" w:rsidRDefault="00FE7685">
          <w:pPr>
            <w:pStyle w:val="Verzeichnis2"/>
            <w:tabs>
              <w:tab w:val="right" w:leader="dot" w:pos="8630"/>
            </w:tabs>
            <w:rPr>
              <w:noProof/>
            </w:rPr>
          </w:pPr>
          <w:hyperlink w:anchor="_Toc216792261" w:history="1">
            <w:r w:rsidRPr="008D40D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65CD8" w14:textId="41B52DBC" w:rsidR="00FE7685" w:rsidRDefault="00FE7685">
          <w:pPr>
            <w:pStyle w:val="Verzeichnis2"/>
            <w:tabs>
              <w:tab w:val="right" w:leader="dot" w:pos="8630"/>
            </w:tabs>
            <w:rPr>
              <w:noProof/>
            </w:rPr>
          </w:pPr>
          <w:hyperlink w:anchor="_Toc216792262" w:history="1">
            <w:r w:rsidRPr="008D40D9">
              <w:rPr>
                <w:rStyle w:val="Hyperlink"/>
                <w:noProof/>
              </w:rPr>
              <w:t>1. Current Cooperation and Existing 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49A7E" w14:textId="61356B47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63" w:history="1">
            <w:r w:rsidRPr="008D40D9">
              <w:rPr>
                <w:rStyle w:val="Hyperlink"/>
                <w:noProof/>
              </w:rPr>
              <w:t>1.1 Already Established Collaborations in the BioMed Consortium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7AD4F" w14:textId="2B0B6DA5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64" w:history="1">
            <w:r w:rsidRPr="008D40D9">
              <w:rPr>
                <w:rStyle w:val="Hyperlink"/>
                <w:noProof/>
              </w:rPr>
              <w:t>1.2 International Cooperation and Standards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0B239" w14:textId="3C7DA2BB" w:rsidR="00FE7685" w:rsidRDefault="00FE7685">
          <w:pPr>
            <w:pStyle w:val="Verzeichnis2"/>
            <w:tabs>
              <w:tab w:val="right" w:leader="dot" w:pos="8630"/>
            </w:tabs>
            <w:rPr>
              <w:noProof/>
            </w:rPr>
          </w:pPr>
          <w:hyperlink w:anchor="_Toc216792265" w:history="1">
            <w:r w:rsidRPr="008D40D9">
              <w:rPr>
                <w:rStyle w:val="Hyperlink"/>
                <w:noProof/>
              </w:rPr>
              <w:t>2. Current Status: Metadata Handling in Individual Consortia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21EBC" w14:textId="5E6669F2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66" w:history="1">
            <w:r w:rsidRPr="008D40D9">
              <w:rPr>
                <w:rStyle w:val="Hyperlink"/>
                <w:noProof/>
              </w:rPr>
              <w:t>2.1 Overview of Metadata Capture and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1C6AC" w14:textId="4F637369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67" w:history="1">
            <w:r w:rsidRPr="008D40D9">
              <w:rPr>
                <w:rStyle w:val="Hyperlink"/>
                <w:noProof/>
              </w:rPr>
              <w:t>2.2 Categorization of Metadata Levels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F8D0D" w14:textId="502C7DAE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68" w:history="1">
            <w:r w:rsidRPr="008D40D9">
              <w:rPr>
                <w:rStyle w:val="Hyperlink"/>
                <w:noProof/>
              </w:rPr>
              <w:t>2.3 Used Ontologies and Vocabularies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31107" w14:textId="597B97CD" w:rsidR="00FE7685" w:rsidRDefault="00FE7685">
          <w:pPr>
            <w:pStyle w:val="Verzeichnis2"/>
            <w:tabs>
              <w:tab w:val="right" w:leader="dot" w:pos="8630"/>
            </w:tabs>
            <w:rPr>
              <w:noProof/>
            </w:rPr>
          </w:pPr>
          <w:hyperlink w:anchor="_Toc216792269" w:history="1">
            <w:r w:rsidRPr="008D40D9">
              <w:rPr>
                <w:rStyle w:val="Hyperlink"/>
                <w:noProof/>
              </w:rPr>
              <w:t>3. Action Needs: Where More Collaboration is Necessary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10332" w14:textId="02C5BC53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70" w:history="1">
            <w:r w:rsidRPr="008D40D9">
              <w:rPr>
                <w:rStyle w:val="Hyperlink"/>
                <w:noProof/>
              </w:rPr>
              <w:t>3.1 Technical Harmonization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48435" w14:textId="7A67A2CC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71" w:history="1">
            <w:r w:rsidRPr="008D40D9">
              <w:rPr>
                <w:rStyle w:val="Hyperlink"/>
                <w:noProof/>
              </w:rPr>
              <w:t>3.2 Governance and Data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0C696" w14:textId="0F9DB489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72" w:history="1">
            <w:r w:rsidRPr="008D40D9">
              <w:rPr>
                <w:rStyle w:val="Hyperlink"/>
                <w:noProof/>
              </w:rPr>
              <w:t>3.3 Organizational and Personnel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F4075" w14:textId="422C54D7" w:rsidR="00FE7685" w:rsidRDefault="00FE7685">
          <w:pPr>
            <w:pStyle w:val="Verzeichnis2"/>
            <w:tabs>
              <w:tab w:val="right" w:leader="dot" w:pos="8630"/>
            </w:tabs>
            <w:rPr>
              <w:noProof/>
            </w:rPr>
          </w:pPr>
          <w:hyperlink w:anchor="_Toc216792273" w:history="1">
            <w:r w:rsidRPr="008D40D9">
              <w:rPr>
                <w:rStyle w:val="Hyperlink"/>
                <w:noProof/>
              </w:rPr>
              <w:t>4. The Value: Benefits of Metadata Interoperability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8ABC8" w14:textId="5FE30355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74" w:history="1">
            <w:r w:rsidRPr="008D40D9">
              <w:rPr>
                <w:rStyle w:val="Hyperlink"/>
                <w:noProof/>
              </w:rPr>
              <w:t>4.1 FAIR Compliance and Data Quality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30B5A" w14:textId="4C52CC93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75" w:history="1">
            <w:r w:rsidRPr="008D40D9">
              <w:rPr>
                <w:rStyle w:val="Hyperlink"/>
                <w:noProof/>
              </w:rPr>
              <w:t>4.2 Cross-Domain Data Integration and Data Fusion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71A31" w14:textId="4EFEBE9C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76" w:history="1">
            <w:r w:rsidRPr="008D40D9">
              <w:rPr>
                <w:rStyle w:val="Hyperlink"/>
                <w:noProof/>
              </w:rPr>
              <w:t>4.3 Machine Readability and Semantic Consistency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4A0DF" w14:textId="15852BEB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77" w:history="1">
            <w:r w:rsidRPr="008D40D9">
              <w:rPr>
                <w:rStyle w:val="Hyperlink"/>
                <w:noProof/>
              </w:rPr>
              <w:t>4.4 Scalable Reproducibility and Meta-Analyses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C4C80" w14:textId="469AEE24" w:rsidR="00FE7685" w:rsidRDefault="00FE7685">
          <w:pPr>
            <w:pStyle w:val="Verzeichnis2"/>
            <w:tabs>
              <w:tab w:val="right" w:leader="dot" w:pos="8630"/>
            </w:tabs>
            <w:rPr>
              <w:noProof/>
            </w:rPr>
          </w:pPr>
          <w:hyperlink w:anchor="_Toc216792278" w:history="1">
            <w:r w:rsidRPr="008D40D9">
              <w:rPr>
                <w:rStyle w:val="Hyperlink"/>
                <w:noProof/>
              </w:rPr>
              <w:t>5. The Vision: Metadata Interoperability in BioMed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F9AE6" w14:textId="447477CB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79" w:history="1">
            <w:r w:rsidRPr="008D40D9">
              <w:rPr>
                <w:rStyle w:val="Hyperlink"/>
                <w:noProof/>
              </w:rPr>
              <w:t>5.1 Future Scenario: "One-Stop-Shop" for Biomedical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63F92" w14:textId="0F7700A3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80" w:history="1">
            <w:r w:rsidRPr="008D40D9">
              <w:rPr>
                <w:rStyle w:val="Hyperlink"/>
                <w:noProof/>
              </w:rPr>
              <w:t>5.2 Must-Haves: Required Implementation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1B1F6" w14:textId="5E8187B9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81" w:history="1">
            <w:r w:rsidRPr="008D40D9">
              <w:rPr>
                <w:rStyle w:val="Hyperlink"/>
                <w:noProof/>
              </w:rPr>
              <w:t>5.3 Nice-to-Haves: Extended Functionalities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4EFD4" w14:textId="7CDFFB87" w:rsidR="00FE7685" w:rsidRDefault="00FE7685">
          <w:pPr>
            <w:pStyle w:val="Verzeichnis2"/>
            <w:tabs>
              <w:tab w:val="right" w:leader="dot" w:pos="8630"/>
            </w:tabs>
            <w:rPr>
              <w:noProof/>
            </w:rPr>
          </w:pPr>
          <w:hyperlink w:anchor="_Toc216792282" w:history="1">
            <w:r w:rsidRPr="008D40D9">
              <w:rPr>
                <w:rStyle w:val="Hyperlink"/>
                <w:noProof/>
              </w:rPr>
              <w:t>6. Roadmap: Path to 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15A1A" w14:textId="09956622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83" w:history="1">
            <w:r w:rsidRPr="008D40D9">
              <w:rPr>
                <w:rStyle w:val="Hyperlink"/>
                <w:noProof/>
              </w:rPr>
              <w:t>6.1 Immediate Measures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A793A" w14:textId="6B4E528A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84" w:history="1">
            <w:r w:rsidRPr="008D40D9">
              <w:rPr>
                <w:rStyle w:val="Hyperlink"/>
                <w:noProof/>
              </w:rPr>
              <w:t>6.2 Medium-Term Measures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9817B" w14:textId="576F9E31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85" w:history="1">
            <w:r w:rsidRPr="008D40D9">
              <w:rPr>
                <w:rStyle w:val="Hyperlink"/>
                <w:noProof/>
              </w:rPr>
              <w:t>6.3 Action Items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93C9A" w14:textId="35480B50" w:rsidR="00FE7685" w:rsidRDefault="00FE7685">
          <w:pPr>
            <w:pStyle w:val="Verzeichnis2"/>
            <w:tabs>
              <w:tab w:val="right" w:leader="dot" w:pos="8630"/>
            </w:tabs>
            <w:rPr>
              <w:noProof/>
            </w:rPr>
          </w:pPr>
          <w:hyperlink w:anchor="_Toc216792286" w:history="1">
            <w:r w:rsidRPr="008D40D9">
              <w:rPr>
                <w:rStyle w:val="Hyperlink"/>
                <w:noProof/>
              </w:rPr>
              <w:t>7. Conclusion: The Necessity of Metadata Harmonization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6AF98" w14:textId="5C3F9277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87" w:history="1">
            <w:r w:rsidRPr="008D40D9">
              <w:rPr>
                <w:rStyle w:val="Hyperlink"/>
                <w:noProof/>
              </w:rPr>
              <w:t>7.1 Critical Importance for the Future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B3748" w14:textId="581FD225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88" w:history="1">
            <w:r w:rsidRPr="008D40D9">
              <w:rPr>
                <w:rStyle w:val="Hyperlink"/>
                <w:noProof/>
              </w:rPr>
              <w:t>7.2 Necessity of Institutional Embedding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48F90" w14:textId="576C3BFB" w:rsidR="00FE7685" w:rsidRDefault="00FE7685">
          <w:pPr>
            <w:pStyle w:val="Verzeichnis3"/>
            <w:tabs>
              <w:tab w:val="right" w:leader="dot" w:pos="8630"/>
            </w:tabs>
            <w:rPr>
              <w:noProof/>
            </w:rPr>
          </w:pPr>
          <w:hyperlink w:anchor="_Toc216792289" w:history="1">
            <w:r w:rsidRPr="008D40D9">
              <w:rPr>
                <w:rStyle w:val="Hyperlink"/>
                <w:noProof/>
              </w:rPr>
              <w:t>7.3 Outlook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_Toc216792289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BC776" w14:textId="6E45EDAA" w:rsidR="00FE7685" w:rsidRDefault="00FE7685">
          <w:r>
            <w:rPr>
              <w:b/>
              <w:bCs/>
            </w:rPr>
            <w:fldChar w:fldCharType="end"/>
          </w:r>
        </w:p>
      </w:sdtContent>
    </w:sdt>
    <w:p w14:paraId="31393F0E" w14:textId="77777777" w:rsidR="00FE7685" w:rsidRDefault="00FE7685" w:rsidP="00FE7685">
      <w:pPr>
        <w:jc w:val="both"/>
      </w:pPr>
    </w:p>
    <w:p w14:paraId="154706CA" w14:textId="77777777" w:rsidR="00FE7685" w:rsidRDefault="00FE768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04331CDD" w14:textId="77777777" w:rsidR="00B5639A" w:rsidRDefault="00B5639A">
      <w:pPr>
        <w:pStyle w:val="berschrift1"/>
        <w:jc w:val="center"/>
      </w:pPr>
    </w:p>
    <w:p w14:paraId="0A72D05C" w14:textId="77777777" w:rsidR="00B5639A" w:rsidRDefault="00E53E45">
      <w:pPr>
        <w:pStyle w:val="berschrift2"/>
      </w:pPr>
      <w:bookmarkStart w:id="1" w:name="_Toc216792261"/>
      <w:r>
        <w:t>Introduction</w:t>
      </w:r>
      <w:bookmarkEnd w:id="1"/>
    </w:p>
    <w:p w14:paraId="71B01C8E" w14:textId="77777777" w:rsidR="00B5639A" w:rsidRDefault="00E53E45">
      <w:r>
        <w:t xml:space="preserve">The BioMed Metadata Workshop on December 3–4, 2025 in Cologne addressed one of the central challenges in modern biosciences: the </w:t>
      </w:r>
      <w:r>
        <w:rPr>
          <w:b/>
        </w:rPr>
        <w:t>harmonized management and interoperability of metadata</w:t>
      </w:r>
      <w:r>
        <w:t xml:space="preserve"> across all five consortia. Metadata is not merely description or tags – it forms the </w:t>
      </w:r>
      <w:r>
        <w:rPr>
          <w:b/>
        </w:rPr>
        <w:t>connective tissue</w:t>
      </w:r>
      <w:r>
        <w:t xml:space="preserve"> that enables disparate systems to speak a common language.</w:t>
      </w:r>
    </w:p>
    <w:p w14:paraId="0C446A33" w14:textId="77777777" w:rsidR="00B5639A" w:rsidRDefault="00E53E45">
      <w:r>
        <w:t>In an era where artificial intelligence is increasingly important and interdisciplinary collaboration across consortium and national borders is essential, standardized and interoperable metadata has become a prerequisite for FAIR-compliant research data. This report summarizes the workshop discussions and answers four central questions:</w:t>
      </w:r>
    </w:p>
    <w:p w14:paraId="37AAEEAF" w14:textId="77777777" w:rsidR="00B5639A" w:rsidRDefault="00E53E45">
      <w:pPr>
        <w:pStyle w:val="Aufzhlungszeichen"/>
      </w:pPr>
      <w:r>
        <w:t>Where are we already cooperating?</w:t>
      </w:r>
    </w:p>
    <w:p w14:paraId="33938658" w14:textId="77777777" w:rsidR="00B5639A" w:rsidRDefault="00E53E45">
      <w:pPr>
        <w:pStyle w:val="Aufzhlungszeichen"/>
      </w:pPr>
      <w:r>
        <w:t>What is the current status?</w:t>
      </w:r>
    </w:p>
    <w:p w14:paraId="3D959E7C" w14:textId="77777777" w:rsidR="00B5639A" w:rsidRDefault="00E53E45">
      <w:pPr>
        <w:pStyle w:val="Aufzhlungszeichen"/>
      </w:pPr>
      <w:r>
        <w:t>Where do we need to collaborate more?</w:t>
      </w:r>
    </w:p>
    <w:p w14:paraId="2FEDBD96" w14:textId="77777777" w:rsidR="00B5639A" w:rsidRDefault="00E53E45">
      <w:pPr>
        <w:pStyle w:val="Aufzhlungszeichen"/>
      </w:pPr>
      <w:r>
        <w:t>What concrete benefits does this provide?</w:t>
      </w:r>
    </w:p>
    <w:p w14:paraId="4E8EE25B" w14:textId="77777777" w:rsidR="00B5639A" w:rsidRDefault="00E53E45">
      <w:pPr>
        <w:pStyle w:val="berschrift2"/>
      </w:pPr>
      <w:bookmarkStart w:id="2" w:name="_Toc216792262"/>
      <w:r>
        <w:t>1. Current Cooperation and Existing Infrastructure</w:t>
      </w:r>
      <w:bookmarkEnd w:id="2"/>
    </w:p>
    <w:p w14:paraId="5A8EA61B" w14:textId="77777777" w:rsidR="00B5639A" w:rsidRDefault="00E53E45">
      <w:pPr>
        <w:pStyle w:val="berschrift3"/>
      </w:pPr>
      <w:bookmarkStart w:id="3" w:name="_Toc216792263"/>
      <w:r>
        <w:t>1.1 Already Established Collaborations in the BioMed Consortium</w:t>
      </w:r>
      <w:bookmarkEnd w:id="3"/>
    </w:p>
    <w:p w14:paraId="2D874CFA" w14:textId="77777777" w:rsidR="00B5639A" w:rsidRDefault="00E53E45">
      <w:r>
        <w:t>The BioMed Consortium has already established structured cooperation mechanisms for metadata interoperability:</w:t>
      </w:r>
    </w:p>
    <w:p w14:paraId="3AA0CD44" w14:textId="77777777" w:rsidR="00B5639A" w:rsidRDefault="00E53E45">
      <w:pPr>
        <w:pStyle w:val="berschrift4"/>
      </w:pPr>
      <w:r>
        <w:t>Formalized Structure:</w:t>
      </w:r>
    </w:p>
    <w:p w14:paraId="45EF7741" w14:textId="77777777" w:rsidR="00B5639A" w:rsidRDefault="00E53E45">
      <w:pPr>
        <w:pStyle w:val="Listennummer"/>
      </w:pPr>
      <w:r>
        <w:t>The BioMed Metadata Interoperability Group was founded in 2024 and meets monthly (with breaks) in online sessions</w:t>
      </w:r>
    </w:p>
    <w:p w14:paraId="0EBED261" w14:textId="73A6D2EF" w:rsidR="00B5639A" w:rsidRDefault="00E53E45">
      <w:pPr>
        <w:pStyle w:val="Listennummer"/>
      </w:pPr>
      <w:r>
        <w:t>An annual in-person meeting (</w:t>
      </w:r>
      <w:r w:rsidR="00FE7685">
        <w:t xml:space="preserve">additional to </w:t>
      </w:r>
      <w:r>
        <w:t>the BioMed Meeting) is planned</w:t>
      </w:r>
    </w:p>
    <w:p w14:paraId="49999DF1" w14:textId="77777777" w:rsidR="00B5639A" w:rsidRDefault="00E53E45">
      <w:pPr>
        <w:pStyle w:val="Listennummer"/>
      </w:pPr>
      <w:r>
        <w:t>Contact person: Sebastian Böhm (NFDI4Immuno)</w:t>
      </w:r>
    </w:p>
    <w:p w14:paraId="254D0410" w14:textId="77777777" w:rsidR="00B5639A" w:rsidRDefault="00E53E45">
      <w:pPr>
        <w:pStyle w:val="Listennummer"/>
      </w:pPr>
      <w:r>
        <w:t>The group serves as the central coordination hub for all consortium-wide metadata issues</w:t>
      </w:r>
    </w:p>
    <w:p w14:paraId="16A1A7AA" w14:textId="77777777" w:rsidR="00B5639A" w:rsidRDefault="00E53E45">
      <w:pPr>
        <w:pStyle w:val="berschrift4"/>
      </w:pPr>
      <w:r>
        <w:lastRenderedPageBreak/>
        <w:t>Participating Consortia:</w:t>
      </w:r>
    </w:p>
    <w:p w14:paraId="52A9F408" w14:textId="25DA2467" w:rsidR="00B5639A" w:rsidRDefault="00E53E45">
      <w:r>
        <w:t xml:space="preserve">The five consortia of the BioMed network, with their respective </w:t>
      </w:r>
      <w:r>
        <w:t>areas, are:</w:t>
      </w:r>
    </w:p>
    <w:p w14:paraId="5D03B77D" w14:textId="77777777" w:rsidR="00B5639A" w:rsidRDefault="00E53E45" w:rsidP="00514F5B">
      <w:pPr>
        <w:pStyle w:val="Listennummer"/>
        <w:numPr>
          <w:ilvl w:val="0"/>
          <w:numId w:val="10"/>
        </w:numPr>
      </w:pPr>
      <w:r>
        <w:t>NFDI4Health: Focus on clinical and epidemiological data</w:t>
      </w:r>
    </w:p>
    <w:p w14:paraId="72A3156B" w14:textId="77777777" w:rsidR="00B5639A" w:rsidRDefault="00E53E45" w:rsidP="00514F5B">
      <w:pPr>
        <w:pStyle w:val="Listennummer"/>
        <w:numPr>
          <w:ilvl w:val="0"/>
          <w:numId w:val="10"/>
        </w:numPr>
      </w:pPr>
      <w:r>
        <w:t>GHGA (German Human Genome-Phenome Archive): Genomics and phenotyping</w:t>
      </w:r>
    </w:p>
    <w:p w14:paraId="75798FFF" w14:textId="77777777" w:rsidR="00B5639A" w:rsidRDefault="00E53E45" w:rsidP="00514F5B">
      <w:pPr>
        <w:pStyle w:val="Listennummer"/>
        <w:numPr>
          <w:ilvl w:val="0"/>
          <w:numId w:val="10"/>
        </w:numPr>
      </w:pPr>
      <w:r>
        <w:t>NFDI4Immuno: Immunological research data</w:t>
      </w:r>
    </w:p>
    <w:p w14:paraId="539619A7" w14:textId="77777777" w:rsidR="00B5639A" w:rsidRDefault="00E53E45" w:rsidP="00514F5B">
      <w:pPr>
        <w:pStyle w:val="Listennummer"/>
        <w:numPr>
          <w:ilvl w:val="0"/>
          <w:numId w:val="10"/>
        </w:numPr>
      </w:pPr>
      <w:r>
        <w:t>NFDI4Microbiota: Microbiome research</w:t>
      </w:r>
    </w:p>
    <w:p w14:paraId="40630AC9" w14:textId="77777777" w:rsidR="00B5639A" w:rsidRDefault="00E53E45" w:rsidP="00514F5B">
      <w:pPr>
        <w:pStyle w:val="Listennummer"/>
        <w:numPr>
          <w:ilvl w:val="0"/>
          <w:numId w:val="10"/>
        </w:numPr>
      </w:pPr>
      <w:r>
        <w:t>NFDI4BIOIMAGE: Imaging data and microscopic images</w:t>
      </w:r>
    </w:p>
    <w:p w14:paraId="32A1A92C" w14:textId="77777777" w:rsidR="00B5639A" w:rsidRDefault="00E53E45">
      <w:pPr>
        <w:pStyle w:val="berschrift3"/>
      </w:pPr>
      <w:bookmarkStart w:id="4" w:name="_Toc216792264"/>
      <w:r>
        <w:t>1.2 International Cooperation and Standards Alignment</w:t>
      </w:r>
      <w:bookmarkEnd w:id="4"/>
    </w:p>
    <w:p w14:paraId="7EE3C2E4" w14:textId="77777777" w:rsidR="00B5639A" w:rsidRDefault="00E53E45">
      <w:r>
        <w:t>Beyond internal collaboration, the BioMed consortia actively work with international standards and data initiatives:</w:t>
      </w:r>
    </w:p>
    <w:p w14:paraId="02B890BB" w14:textId="77777777" w:rsidR="00B5639A" w:rsidRDefault="00E53E45">
      <w:pPr>
        <w:pStyle w:val="berschrift4"/>
      </w:pPr>
      <w:r>
        <w:t>International Standardization Initiatives:</w:t>
      </w:r>
    </w:p>
    <w:p w14:paraId="7D94F89F" w14:textId="77777777" w:rsidR="00B5639A" w:rsidRDefault="00E53E45" w:rsidP="00514F5B">
      <w:pPr>
        <w:pStyle w:val="Listennummer"/>
        <w:numPr>
          <w:ilvl w:val="0"/>
          <w:numId w:val="11"/>
        </w:numPr>
      </w:pPr>
      <w:r>
        <w:t>Genomics Standards Consortium (GSC): The consortia align with minimal metadata standards such as MixS and MIMAG for sequencing data</w:t>
      </w:r>
    </w:p>
    <w:p w14:paraId="5712EFC9" w14:textId="77777777" w:rsidR="00B5639A" w:rsidRDefault="00E53E45" w:rsidP="00514F5B">
      <w:pPr>
        <w:pStyle w:val="Listennummer"/>
        <w:numPr>
          <w:ilvl w:val="0"/>
          <w:numId w:val="11"/>
        </w:numPr>
      </w:pPr>
      <w:r>
        <w:t>EMBL-EBI and European Nucleotide Archive (ENA): Collaboration on genomic data standards</w:t>
      </w:r>
    </w:p>
    <w:p w14:paraId="0C85E4E3" w14:textId="77777777" w:rsidR="00B5639A" w:rsidRDefault="00E53E45" w:rsidP="00514F5B">
      <w:pPr>
        <w:pStyle w:val="Listennummer"/>
        <w:numPr>
          <w:ilvl w:val="0"/>
          <w:numId w:val="11"/>
        </w:numPr>
      </w:pPr>
      <w:r>
        <w:t>HL7 and FHIR Standard: NFDI4Health works with international health standards organizations</w:t>
      </w:r>
    </w:p>
    <w:p w14:paraId="07AA9D67" w14:textId="77777777" w:rsidR="00B5639A" w:rsidRDefault="00E53E45" w:rsidP="00514F5B">
      <w:pPr>
        <w:pStyle w:val="Listennummer"/>
        <w:numPr>
          <w:ilvl w:val="0"/>
          <w:numId w:val="11"/>
        </w:numPr>
      </w:pPr>
      <w:r>
        <w:t xml:space="preserve">Open </w:t>
      </w:r>
      <w:r>
        <w:t>Microscopy Environment (OME): NFDI4BIOIMAGE contributes to established standards for imaging</w:t>
      </w:r>
    </w:p>
    <w:p w14:paraId="37653017" w14:textId="77777777" w:rsidR="00B5639A" w:rsidRDefault="00E53E45" w:rsidP="00514F5B">
      <w:pPr>
        <w:pStyle w:val="Listennummer"/>
        <w:numPr>
          <w:ilvl w:val="0"/>
          <w:numId w:val="11"/>
        </w:numPr>
      </w:pPr>
      <w:r>
        <w:t>Federated European Genome-Phenome Archive (FEGA) and European Genomic Data Infrastructure (GDI): European networking of data archives</w:t>
      </w:r>
    </w:p>
    <w:p w14:paraId="3FF2BA9F" w14:textId="77777777" w:rsidR="00B5639A" w:rsidRDefault="00E53E45" w:rsidP="00514F5B">
      <w:pPr>
        <w:pStyle w:val="Listennummer"/>
        <w:numPr>
          <w:ilvl w:val="0"/>
          <w:numId w:val="11"/>
        </w:numPr>
      </w:pPr>
      <w:r>
        <w:t>NAKO and genomDE: German pilot initiatives for extending existing standards</w:t>
      </w:r>
    </w:p>
    <w:p w14:paraId="5DEE3E8D" w14:textId="77777777" w:rsidR="00B5639A" w:rsidRDefault="00E53E45">
      <w:pPr>
        <w:pStyle w:val="berschrift4"/>
      </w:pPr>
      <w:r>
        <w:t>Cooperation with NFDI Base Services:</w:t>
      </w:r>
    </w:p>
    <w:p w14:paraId="17E28A6E" w14:textId="77777777" w:rsidR="00B5639A" w:rsidRDefault="00E53E45" w:rsidP="00514F5B">
      <w:pPr>
        <w:pStyle w:val="Listennummer"/>
        <w:numPr>
          <w:ilvl w:val="0"/>
          <w:numId w:val="12"/>
        </w:numPr>
      </w:pPr>
      <w:r>
        <w:t>TS4NFDI / Immuno: Integration of standardized ontology services</w:t>
      </w:r>
    </w:p>
    <w:p w14:paraId="68E56451" w14:textId="77777777" w:rsidR="00B5639A" w:rsidRDefault="00E53E45" w:rsidP="00514F5B">
      <w:pPr>
        <w:pStyle w:val="Listennummer"/>
        <w:numPr>
          <w:ilvl w:val="0"/>
          <w:numId w:val="12"/>
        </w:numPr>
      </w:pPr>
      <w:r>
        <w:t>Shared Container: Planned launch of a shared infrastructure container across consortia</w:t>
      </w:r>
    </w:p>
    <w:p w14:paraId="434666C5" w14:textId="77777777" w:rsidR="00B5639A" w:rsidRDefault="00E53E45" w:rsidP="00514F5B">
      <w:pPr>
        <w:pStyle w:val="Listennummer"/>
        <w:numPr>
          <w:ilvl w:val="0"/>
          <w:numId w:val="12"/>
        </w:numPr>
      </w:pPr>
      <w:r>
        <w:t>PID (Persistent Identifier): Integration of persistent identifiers (Microbiota)</w:t>
      </w:r>
    </w:p>
    <w:p w14:paraId="7EE16A41" w14:textId="77777777" w:rsidR="00B5639A" w:rsidRDefault="00E53E45" w:rsidP="00514F5B">
      <w:pPr>
        <w:pStyle w:val="Listennummer"/>
        <w:numPr>
          <w:ilvl w:val="0"/>
          <w:numId w:val="12"/>
        </w:numPr>
      </w:pPr>
      <w:r>
        <w:t>IAM4NFDI: Identity and access management (Microbiota)</w:t>
      </w:r>
    </w:p>
    <w:p w14:paraId="28B645E3" w14:textId="77777777" w:rsidR="00B5639A" w:rsidRDefault="00E53E45" w:rsidP="00514F5B">
      <w:pPr>
        <w:pStyle w:val="Listennummer"/>
        <w:numPr>
          <w:ilvl w:val="0"/>
          <w:numId w:val="12"/>
        </w:numPr>
      </w:pPr>
      <w:r>
        <w:t>DMP4NFDI: Creation of data management plans specifically for imaging data (Microbiota, BioImage)</w:t>
      </w:r>
    </w:p>
    <w:p w14:paraId="73A3DC1F" w14:textId="77777777" w:rsidR="00B5639A" w:rsidRDefault="00E53E45">
      <w:pPr>
        <w:pStyle w:val="berschrift2"/>
      </w:pPr>
      <w:bookmarkStart w:id="5" w:name="_Toc216792265"/>
      <w:r>
        <w:t>2. Current Status: Metadata Handling in Individual Consortia</w:t>
      </w:r>
      <w:bookmarkEnd w:id="5"/>
    </w:p>
    <w:p w14:paraId="7040761D" w14:textId="77777777" w:rsidR="00B5639A" w:rsidRDefault="00E53E45">
      <w:pPr>
        <w:pStyle w:val="berschrift3"/>
      </w:pPr>
      <w:bookmarkStart w:id="6" w:name="_Toc216792266"/>
      <w:r>
        <w:t>2.1 Overview of Metadata Capture and Standards</w:t>
      </w:r>
      <w:bookmarkEnd w:id="6"/>
    </w:p>
    <w:p w14:paraId="74002341" w14:textId="77777777" w:rsidR="00B5639A" w:rsidRDefault="00E53E45">
      <w:r>
        <w:t>The five consortia possess heterogeneous metadata structures and standards, which create substantial complexity in harmonization efforts:</w:t>
      </w: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1434"/>
        <w:gridCol w:w="1727"/>
        <w:gridCol w:w="1224"/>
        <w:gridCol w:w="1542"/>
        <w:gridCol w:w="1781"/>
        <w:gridCol w:w="1148"/>
      </w:tblGrid>
      <w:tr w:rsidR="00B5639A" w14:paraId="19E860F7" w14:textId="77777777" w:rsidTr="00B56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4556408" w14:textId="77777777" w:rsidR="00B5639A" w:rsidRDefault="00E53E45">
            <w:r>
              <w:t>Aspect</w:t>
            </w:r>
          </w:p>
        </w:tc>
        <w:tc>
          <w:tcPr>
            <w:tcW w:w="1440" w:type="dxa"/>
          </w:tcPr>
          <w:p w14:paraId="1AEB64A5" w14:textId="77777777" w:rsidR="00B5639A" w:rsidRDefault="00E53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NFDI4Health</w:t>
            </w:r>
          </w:p>
        </w:tc>
        <w:tc>
          <w:tcPr>
            <w:tcW w:w="1440" w:type="dxa"/>
          </w:tcPr>
          <w:p w14:paraId="5380CA55" w14:textId="77777777" w:rsidR="00B5639A" w:rsidRDefault="00E53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GHGA</w:t>
            </w:r>
          </w:p>
        </w:tc>
        <w:tc>
          <w:tcPr>
            <w:tcW w:w="1440" w:type="dxa"/>
          </w:tcPr>
          <w:p w14:paraId="0EDF0828" w14:textId="77777777" w:rsidR="00B5639A" w:rsidRDefault="00E53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NFDI4Immuno</w:t>
            </w:r>
          </w:p>
        </w:tc>
        <w:tc>
          <w:tcPr>
            <w:tcW w:w="1440" w:type="dxa"/>
          </w:tcPr>
          <w:p w14:paraId="1D48A1E0" w14:textId="77777777" w:rsidR="00B5639A" w:rsidRDefault="00E53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NFDI4Microbiota</w:t>
            </w:r>
          </w:p>
        </w:tc>
        <w:tc>
          <w:tcPr>
            <w:tcW w:w="1440" w:type="dxa"/>
          </w:tcPr>
          <w:p w14:paraId="0676E2D3" w14:textId="77777777" w:rsidR="00B5639A" w:rsidRDefault="00E53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BioImage</w:t>
            </w:r>
          </w:p>
        </w:tc>
      </w:tr>
      <w:tr w:rsidR="00B5639A" w14:paraId="5143C3D2" w14:textId="77777777" w:rsidTr="00B56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2DCB2EF" w14:textId="77777777" w:rsidR="00B5639A" w:rsidRDefault="00E53E45">
            <w:r>
              <w:t>Metadata captured</w:t>
            </w:r>
          </w:p>
        </w:tc>
        <w:tc>
          <w:tcPr>
            <w:tcW w:w="1440" w:type="dxa"/>
          </w:tcPr>
          <w:p w14:paraId="67C92E13" w14:textId="77777777" w:rsidR="00B5639A" w:rsidRDefault="00E5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40" w:type="dxa"/>
          </w:tcPr>
          <w:p w14:paraId="2BF97209" w14:textId="77777777" w:rsidR="00B5639A" w:rsidRDefault="00E5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40" w:type="dxa"/>
          </w:tcPr>
          <w:p w14:paraId="1B9899AA" w14:textId="77777777" w:rsidR="00B5639A" w:rsidRDefault="00E5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40" w:type="dxa"/>
          </w:tcPr>
          <w:p w14:paraId="484BD2CB" w14:textId="77777777" w:rsidR="00B5639A" w:rsidRDefault="00E5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440" w:type="dxa"/>
          </w:tcPr>
          <w:p w14:paraId="1FE28CE4" w14:textId="77777777" w:rsidR="00B5639A" w:rsidRDefault="00E5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B5639A" w14:paraId="4CC3510A" w14:textId="77777777" w:rsidTr="00B56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FBC2396" w14:textId="77777777" w:rsidR="00B5639A" w:rsidRDefault="00E53E45">
            <w:r>
              <w:t>Experimental Standards</w:t>
            </w:r>
          </w:p>
        </w:tc>
        <w:tc>
          <w:tcPr>
            <w:tcW w:w="1440" w:type="dxa"/>
          </w:tcPr>
          <w:p w14:paraId="5FADF23B" w14:textId="77777777" w:rsidR="00B5639A" w:rsidRDefault="00E53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Resources for Clinical, Public </w:t>
            </w:r>
            <w:r>
              <w:lastRenderedPageBreak/>
              <w:t>Health &amp; Epidemiological Studies</w:t>
            </w:r>
          </w:p>
        </w:tc>
        <w:tc>
          <w:tcPr>
            <w:tcW w:w="1440" w:type="dxa"/>
          </w:tcPr>
          <w:p w14:paraId="2F3298E0" w14:textId="77777777" w:rsidR="00B5639A" w:rsidRDefault="00E53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MINSEQE, minSCe</w:t>
            </w:r>
          </w:p>
        </w:tc>
        <w:tc>
          <w:tcPr>
            <w:tcW w:w="1440" w:type="dxa"/>
          </w:tcPr>
          <w:p w14:paraId="431FA23D" w14:textId="77777777" w:rsidR="00B5639A" w:rsidRDefault="00E53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AIRR, CytoFlow</w:t>
            </w:r>
          </w:p>
        </w:tc>
        <w:tc>
          <w:tcPr>
            <w:tcW w:w="1440" w:type="dxa"/>
          </w:tcPr>
          <w:p w14:paraId="2F9FE856" w14:textId="77777777" w:rsidR="00B5639A" w:rsidRDefault="00E53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MixS</w:t>
            </w:r>
          </w:p>
        </w:tc>
        <w:tc>
          <w:tcPr>
            <w:tcW w:w="1440" w:type="dxa"/>
          </w:tcPr>
          <w:p w14:paraId="24A0ED7B" w14:textId="77777777" w:rsidR="00B5639A" w:rsidRDefault="00E53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REMBI</w:t>
            </w:r>
          </w:p>
        </w:tc>
      </w:tr>
      <w:tr w:rsidR="00B5639A" w14:paraId="328413F7" w14:textId="77777777" w:rsidTr="00B56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C08BFCD" w14:textId="77777777" w:rsidR="00B5639A" w:rsidRDefault="00E53E45">
            <w:r>
              <w:t>HealthDCAT</w:t>
            </w:r>
          </w:p>
        </w:tc>
        <w:tc>
          <w:tcPr>
            <w:tcW w:w="1440" w:type="dxa"/>
          </w:tcPr>
          <w:p w14:paraId="76B30D23" w14:textId="77777777" w:rsidR="00B5639A" w:rsidRDefault="00E5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40" w:type="dxa"/>
          </w:tcPr>
          <w:p w14:paraId="4E0BE6AF" w14:textId="77777777" w:rsidR="00B5639A" w:rsidRDefault="00E5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Partially in planning</w:t>
            </w:r>
          </w:p>
        </w:tc>
        <w:tc>
          <w:tcPr>
            <w:tcW w:w="1440" w:type="dxa"/>
          </w:tcPr>
          <w:p w14:paraId="399DA1DD" w14:textId="77777777" w:rsidR="00B5639A" w:rsidRDefault="00E5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planning</w:t>
            </w:r>
          </w:p>
        </w:tc>
        <w:tc>
          <w:tcPr>
            <w:tcW w:w="1440" w:type="dxa"/>
          </w:tcPr>
          <w:p w14:paraId="6F577067" w14:textId="77777777" w:rsidR="00B5639A" w:rsidRDefault="00E5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440" w:type="dxa"/>
          </w:tcPr>
          <w:p w14:paraId="08800673" w14:textId="77777777" w:rsidR="00B5639A" w:rsidRDefault="00E5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B5639A" w14:paraId="71B5E058" w14:textId="77777777" w:rsidTr="00B56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FFEA853" w14:textId="77777777" w:rsidR="00B5639A" w:rsidRDefault="00E53E45">
            <w:r>
              <w:t>FHIR</w:t>
            </w:r>
          </w:p>
        </w:tc>
        <w:tc>
          <w:tcPr>
            <w:tcW w:w="1440" w:type="dxa"/>
          </w:tcPr>
          <w:p w14:paraId="378C3778" w14:textId="77777777" w:rsidR="00B5639A" w:rsidRDefault="00E53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40" w:type="dxa"/>
          </w:tcPr>
          <w:p w14:paraId="1938BCBB" w14:textId="77777777" w:rsidR="00B5639A" w:rsidRDefault="00E53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Possibly for </w:t>
            </w:r>
            <w:r>
              <w:t>Genomics package</w:t>
            </w:r>
          </w:p>
        </w:tc>
        <w:tc>
          <w:tcPr>
            <w:tcW w:w="1440" w:type="dxa"/>
          </w:tcPr>
          <w:p w14:paraId="30AD0603" w14:textId="77777777" w:rsidR="00B5639A" w:rsidRDefault="00E53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yet decided</w:t>
            </w:r>
          </w:p>
        </w:tc>
        <w:tc>
          <w:tcPr>
            <w:tcW w:w="1440" w:type="dxa"/>
          </w:tcPr>
          <w:p w14:paraId="78CC5DC7" w14:textId="77777777" w:rsidR="00B5639A" w:rsidRDefault="00E53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440" w:type="dxa"/>
          </w:tcPr>
          <w:p w14:paraId="5336A071" w14:textId="77777777" w:rsidR="00B5639A" w:rsidRDefault="00E53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</w:t>
            </w:r>
          </w:p>
        </w:tc>
      </w:tr>
    </w:tbl>
    <w:p w14:paraId="696C933E" w14:textId="77777777" w:rsidR="00B5639A" w:rsidRDefault="00E53E45">
      <w:pPr>
        <w:pStyle w:val="Beschriftung"/>
      </w:pPr>
      <w:r>
        <w:t>Overview of Metadata Standards per Consortium</w:t>
      </w:r>
    </w:p>
    <w:p w14:paraId="0559945C" w14:textId="77777777" w:rsidR="00B5639A" w:rsidRDefault="00E53E45">
      <w:pPr>
        <w:pStyle w:val="berschrift3"/>
      </w:pPr>
      <w:bookmarkStart w:id="7" w:name="_Toc216792267"/>
      <w:r>
        <w:t>2.2 Categorization of Metadata Levels</w:t>
      </w:r>
      <w:bookmarkEnd w:id="7"/>
    </w:p>
    <w:p w14:paraId="589D30F0" w14:textId="77777777" w:rsidR="00B5639A" w:rsidRDefault="00E53E45">
      <w:r>
        <w:t>The consortia work with different categorization levels that reflect the diversity of their research subjects:</w:t>
      </w:r>
    </w:p>
    <w:p w14:paraId="216B44C6" w14:textId="77777777" w:rsidR="00B5639A" w:rsidRDefault="00E53E45">
      <w:pPr>
        <w:pStyle w:val="berschrift4"/>
      </w:pPr>
      <w:r>
        <w:t xml:space="preserve">GHGA </w:t>
      </w:r>
      <w:r>
        <w:t>(Genomics)</w:t>
      </w:r>
    </w:p>
    <w:p w14:paraId="2B3A34C0" w14:textId="77777777" w:rsidR="00B5639A" w:rsidRDefault="00E53E45" w:rsidP="00514F5B">
      <w:pPr>
        <w:pStyle w:val="Listennummer"/>
        <w:numPr>
          <w:ilvl w:val="0"/>
          <w:numId w:val="13"/>
        </w:numPr>
      </w:pPr>
      <w:r>
        <w:t>Study</w:t>
      </w:r>
    </w:p>
    <w:p w14:paraId="730674E6" w14:textId="77777777" w:rsidR="00B5639A" w:rsidRDefault="00E53E45" w:rsidP="00514F5B">
      <w:pPr>
        <w:pStyle w:val="Listennummer"/>
        <w:numPr>
          <w:ilvl w:val="0"/>
          <w:numId w:val="13"/>
        </w:numPr>
      </w:pPr>
      <w:r>
        <w:t>Individual</w:t>
      </w:r>
    </w:p>
    <w:p w14:paraId="59BFA2E0" w14:textId="77777777" w:rsidR="00B5639A" w:rsidRDefault="00E53E45" w:rsidP="00514F5B">
      <w:pPr>
        <w:pStyle w:val="Listennummer"/>
        <w:numPr>
          <w:ilvl w:val="0"/>
          <w:numId w:val="13"/>
        </w:numPr>
      </w:pPr>
      <w:r>
        <w:t>Sample</w:t>
      </w:r>
    </w:p>
    <w:p w14:paraId="27D84704" w14:textId="77777777" w:rsidR="00B5639A" w:rsidRDefault="00E53E45" w:rsidP="00514F5B">
      <w:pPr>
        <w:pStyle w:val="Listennummer"/>
        <w:numPr>
          <w:ilvl w:val="0"/>
          <w:numId w:val="13"/>
        </w:numPr>
      </w:pPr>
      <w:r>
        <w:t>Experiment</w:t>
      </w:r>
    </w:p>
    <w:p w14:paraId="2F291D8D" w14:textId="77777777" w:rsidR="00B5639A" w:rsidRDefault="00E53E45" w:rsidP="00514F5B">
      <w:pPr>
        <w:pStyle w:val="Listennummer"/>
        <w:numPr>
          <w:ilvl w:val="0"/>
          <w:numId w:val="13"/>
        </w:numPr>
      </w:pPr>
      <w:r>
        <w:t>Analysis</w:t>
      </w:r>
    </w:p>
    <w:p w14:paraId="575F6D6F" w14:textId="77777777" w:rsidR="00B5639A" w:rsidRDefault="00E53E45" w:rsidP="00514F5B">
      <w:pPr>
        <w:pStyle w:val="Listennummer"/>
        <w:numPr>
          <w:ilvl w:val="0"/>
          <w:numId w:val="13"/>
        </w:numPr>
      </w:pPr>
      <w:r>
        <w:t>Dataset/Files/Data Access Committee</w:t>
      </w:r>
    </w:p>
    <w:p w14:paraId="02F6128B" w14:textId="77777777" w:rsidR="00B5639A" w:rsidRDefault="00E53E45">
      <w:pPr>
        <w:pStyle w:val="berschrift4"/>
      </w:pPr>
      <w:r>
        <w:t>NFDI4Immuno (Immunology)</w:t>
      </w:r>
    </w:p>
    <w:p w14:paraId="35322275" w14:textId="77777777" w:rsidR="00B5639A" w:rsidRDefault="00E53E45" w:rsidP="00514F5B">
      <w:pPr>
        <w:pStyle w:val="Listennummer"/>
        <w:numPr>
          <w:ilvl w:val="0"/>
          <w:numId w:val="14"/>
        </w:numPr>
      </w:pPr>
      <w:r>
        <w:t>Study</w:t>
      </w:r>
    </w:p>
    <w:p w14:paraId="5F60B2AE" w14:textId="77777777" w:rsidR="00B5639A" w:rsidRDefault="00E53E45" w:rsidP="00514F5B">
      <w:pPr>
        <w:pStyle w:val="Listennummer"/>
        <w:numPr>
          <w:ilvl w:val="0"/>
          <w:numId w:val="14"/>
        </w:numPr>
      </w:pPr>
      <w:r>
        <w:t>Subject</w:t>
      </w:r>
    </w:p>
    <w:p w14:paraId="1BB39554" w14:textId="77777777" w:rsidR="00B5639A" w:rsidRDefault="00E53E45" w:rsidP="00514F5B">
      <w:pPr>
        <w:pStyle w:val="Listennummer"/>
        <w:numPr>
          <w:ilvl w:val="0"/>
          <w:numId w:val="14"/>
        </w:numPr>
      </w:pPr>
      <w:r>
        <w:t>SampleEvent</w:t>
      </w:r>
    </w:p>
    <w:p w14:paraId="5374825E" w14:textId="77777777" w:rsidR="00B5639A" w:rsidRDefault="00E53E45" w:rsidP="00514F5B">
      <w:pPr>
        <w:pStyle w:val="Listennummer"/>
        <w:numPr>
          <w:ilvl w:val="0"/>
          <w:numId w:val="14"/>
        </w:numPr>
      </w:pPr>
      <w:r>
        <w:t>Sample</w:t>
      </w:r>
    </w:p>
    <w:p w14:paraId="37BA3B99" w14:textId="77777777" w:rsidR="00B5639A" w:rsidRDefault="00E53E45" w:rsidP="00514F5B">
      <w:pPr>
        <w:pStyle w:val="Listennummer"/>
        <w:numPr>
          <w:ilvl w:val="0"/>
          <w:numId w:val="14"/>
        </w:numPr>
      </w:pPr>
      <w:r>
        <w:t>SampleProcessingData</w:t>
      </w:r>
    </w:p>
    <w:p w14:paraId="7E8D2230" w14:textId="77777777" w:rsidR="00B5639A" w:rsidRDefault="00E53E45">
      <w:pPr>
        <w:pStyle w:val="berschrift4"/>
      </w:pPr>
      <w:r>
        <w:t>NFDI4Microbiota (Microbiology)</w:t>
      </w:r>
    </w:p>
    <w:p w14:paraId="076581D4" w14:textId="77777777" w:rsidR="00B5639A" w:rsidRDefault="00E53E45" w:rsidP="00514F5B">
      <w:pPr>
        <w:pStyle w:val="Listennummer"/>
        <w:numPr>
          <w:ilvl w:val="0"/>
          <w:numId w:val="15"/>
        </w:numPr>
      </w:pPr>
      <w:r>
        <w:t>Biological Metadata</w:t>
      </w:r>
    </w:p>
    <w:p w14:paraId="5C325531" w14:textId="77777777" w:rsidR="00B5639A" w:rsidRDefault="00E53E45" w:rsidP="00514F5B">
      <w:pPr>
        <w:pStyle w:val="Listennummer"/>
        <w:numPr>
          <w:ilvl w:val="0"/>
          <w:numId w:val="15"/>
        </w:numPr>
      </w:pPr>
      <w:r>
        <w:t>Environmental Metadata</w:t>
      </w:r>
    </w:p>
    <w:p w14:paraId="11FB14F7" w14:textId="77777777" w:rsidR="00B5639A" w:rsidRDefault="00E53E45" w:rsidP="00514F5B">
      <w:pPr>
        <w:pStyle w:val="Listennummer"/>
        <w:numPr>
          <w:ilvl w:val="0"/>
          <w:numId w:val="15"/>
        </w:numPr>
      </w:pPr>
      <w:r>
        <w:t>Technical Metadata</w:t>
      </w:r>
    </w:p>
    <w:p w14:paraId="68600B3D" w14:textId="77777777" w:rsidR="00B5639A" w:rsidRDefault="00E53E45" w:rsidP="00514F5B">
      <w:pPr>
        <w:pStyle w:val="Listennummer"/>
        <w:numPr>
          <w:ilvl w:val="0"/>
          <w:numId w:val="15"/>
        </w:numPr>
      </w:pPr>
      <w:r>
        <w:t>Sample collection</w:t>
      </w:r>
    </w:p>
    <w:p w14:paraId="479C1640" w14:textId="77777777" w:rsidR="00B5639A" w:rsidRDefault="00E53E45" w:rsidP="00514F5B">
      <w:pPr>
        <w:pStyle w:val="Listennummer"/>
        <w:numPr>
          <w:ilvl w:val="0"/>
          <w:numId w:val="15"/>
        </w:numPr>
      </w:pPr>
      <w:r>
        <w:t>Sample processing</w:t>
      </w:r>
    </w:p>
    <w:p w14:paraId="4A0E6F17" w14:textId="77777777" w:rsidR="00B5639A" w:rsidRDefault="00E53E45" w:rsidP="00514F5B">
      <w:pPr>
        <w:pStyle w:val="Listennummer"/>
        <w:numPr>
          <w:ilvl w:val="0"/>
          <w:numId w:val="15"/>
        </w:numPr>
      </w:pPr>
      <w:r>
        <w:t>Host metadata</w:t>
      </w:r>
    </w:p>
    <w:p w14:paraId="26C89707" w14:textId="77777777" w:rsidR="00B5639A" w:rsidRDefault="00E53E45">
      <w:pPr>
        <w:pStyle w:val="berschrift4"/>
      </w:pPr>
      <w:r>
        <w:t>BioImage (Imaging)</w:t>
      </w:r>
    </w:p>
    <w:p w14:paraId="7856C0EE" w14:textId="77777777" w:rsidR="00B5639A" w:rsidRDefault="00E53E45" w:rsidP="00514F5B">
      <w:pPr>
        <w:pStyle w:val="Listennummer"/>
        <w:numPr>
          <w:ilvl w:val="0"/>
          <w:numId w:val="16"/>
        </w:numPr>
      </w:pPr>
      <w:r>
        <w:t>Probe/Specimen</w:t>
      </w:r>
    </w:p>
    <w:p w14:paraId="33345F0D" w14:textId="77777777" w:rsidR="00B5639A" w:rsidRDefault="00E53E45" w:rsidP="00514F5B">
      <w:pPr>
        <w:pStyle w:val="Listennummer"/>
        <w:numPr>
          <w:ilvl w:val="0"/>
          <w:numId w:val="16"/>
        </w:numPr>
      </w:pPr>
      <w:r>
        <w:t>Data</w:t>
      </w:r>
    </w:p>
    <w:p w14:paraId="7B2F4179" w14:textId="77777777" w:rsidR="00B5639A" w:rsidRDefault="00E53E45" w:rsidP="00514F5B">
      <w:pPr>
        <w:pStyle w:val="Listennummer"/>
        <w:numPr>
          <w:ilvl w:val="0"/>
          <w:numId w:val="16"/>
        </w:numPr>
      </w:pPr>
      <w:r>
        <w:t>Technical parameters</w:t>
      </w:r>
    </w:p>
    <w:p w14:paraId="5EEFB14C" w14:textId="77777777" w:rsidR="00B5639A" w:rsidRDefault="00E53E45" w:rsidP="00514F5B">
      <w:pPr>
        <w:pStyle w:val="Listennummer"/>
        <w:numPr>
          <w:ilvl w:val="0"/>
          <w:numId w:val="16"/>
        </w:numPr>
      </w:pPr>
      <w:r>
        <w:t>Experimental Data</w:t>
      </w:r>
    </w:p>
    <w:p w14:paraId="2C7191A5" w14:textId="77777777" w:rsidR="00B5639A" w:rsidRDefault="00E53E45">
      <w:pPr>
        <w:pStyle w:val="berschrift4"/>
      </w:pPr>
      <w:r>
        <w:lastRenderedPageBreak/>
        <w:t>NFDI4Health (Clinical Data)</w:t>
      </w:r>
    </w:p>
    <w:p w14:paraId="1BED2309" w14:textId="77777777" w:rsidR="00B5639A" w:rsidRDefault="00E53E45" w:rsidP="00514F5B">
      <w:pPr>
        <w:pStyle w:val="Listennummer"/>
        <w:numPr>
          <w:ilvl w:val="0"/>
          <w:numId w:val="0"/>
        </w:numPr>
      </w:pPr>
      <w:r>
        <w:t>Extensive categorization (see NFDI Health Topic Coverage)</w:t>
      </w:r>
    </w:p>
    <w:p w14:paraId="7365DDAB" w14:textId="77777777" w:rsidR="00B5639A" w:rsidRDefault="00E53E45">
      <w:pPr>
        <w:pStyle w:val="berschrift3"/>
      </w:pPr>
      <w:bookmarkStart w:id="8" w:name="_Toc216792268"/>
      <w:r>
        <w:t xml:space="preserve">2.3 Used Ontologies and </w:t>
      </w:r>
      <w:r>
        <w:t>Vocabularies</w:t>
      </w:r>
      <w:bookmarkEnd w:id="8"/>
    </w:p>
    <w:p w14:paraId="25F5DB50" w14:textId="77777777" w:rsidR="00B5639A" w:rsidRDefault="00E53E45">
      <w:r>
        <w:t>The consortia utilize a variety of established ontologies that are not yet fully harmonized:</w:t>
      </w:r>
    </w:p>
    <w:p w14:paraId="63EB5F02" w14:textId="77777777" w:rsidR="00B5639A" w:rsidRDefault="00E53E45">
      <w:pPr>
        <w:pStyle w:val="berschrift4"/>
      </w:pPr>
      <w:r>
        <w:t>Relevant Ontologies:</w:t>
      </w:r>
    </w:p>
    <w:p w14:paraId="57A8AC7D" w14:textId="77777777" w:rsidR="00B5639A" w:rsidRDefault="00E53E45" w:rsidP="00514F5B">
      <w:pPr>
        <w:pStyle w:val="Listennummer"/>
        <w:numPr>
          <w:ilvl w:val="0"/>
          <w:numId w:val="17"/>
        </w:numPr>
      </w:pPr>
      <w:r>
        <w:rPr>
          <w:b/>
        </w:rPr>
        <w:t>NCBItaxon</w:t>
      </w:r>
      <w:r>
        <w:t>: Taxonomic classification of organisms</w:t>
      </w:r>
    </w:p>
    <w:p w14:paraId="7CEE0C4D" w14:textId="77777777" w:rsidR="00B5639A" w:rsidRDefault="00E53E45" w:rsidP="00514F5B">
      <w:pPr>
        <w:pStyle w:val="Listennummer"/>
        <w:numPr>
          <w:ilvl w:val="0"/>
          <w:numId w:val="17"/>
        </w:numPr>
      </w:pPr>
      <w:r>
        <w:rPr>
          <w:b/>
        </w:rPr>
        <w:t>ICD-10</w:t>
      </w:r>
      <w:r>
        <w:t>: International Classification of Diseases</w:t>
      </w:r>
    </w:p>
    <w:p w14:paraId="535ADE75" w14:textId="77777777" w:rsidR="00B5639A" w:rsidRDefault="00E53E45" w:rsidP="00514F5B">
      <w:pPr>
        <w:pStyle w:val="Listennummer"/>
        <w:numPr>
          <w:ilvl w:val="0"/>
          <w:numId w:val="17"/>
        </w:numPr>
      </w:pPr>
      <w:r>
        <w:rPr>
          <w:b/>
        </w:rPr>
        <w:t>SNOMED CT</w:t>
      </w:r>
      <w:r>
        <w:t>: Systematized Nomenclature of Medicine Clinical Terms for clinical concepts</w:t>
      </w:r>
    </w:p>
    <w:p w14:paraId="60150B57" w14:textId="77777777" w:rsidR="00B5639A" w:rsidRDefault="00E53E45" w:rsidP="00514F5B">
      <w:pPr>
        <w:pStyle w:val="Listennummer"/>
        <w:numPr>
          <w:ilvl w:val="0"/>
          <w:numId w:val="17"/>
        </w:numPr>
      </w:pPr>
      <w:r>
        <w:rPr>
          <w:b/>
        </w:rPr>
        <w:t>LOINC</w:t>
      </w:r>
      <w:r>
        <w:t>: Logical Observation Identifiers Names and Codes (laboratory values and clinical measurements)</w:t>
      </w:r>
    </w:p>
    <w:p w14:paraId="2260E478" w14:textId="77777777" w:rsidR="00B5639A" w:rsidRDefault="00E53E45" w:rsidP="00514F5B">
      <w:pPr>
        <w:pStyle w:val="Listennummer"/>
        <w:numPr>
          <w:ilvl w:val="0"/>
          <w:numId w:val="17"/>
        </w:numPr>
      </w:pPr>
      <w:r>
        <w:rPr>
          <w:b/>
        </w:rPr>
        <w:t>UBERON</w:t>
      </w:r>
      <w:r>
        <w:t>: Unified Anatomy Ontology (anatomical structures)</w:t>
      </w:r>
    </w:p>
    <w:p w14:paraId="7A299D97" w14:textId="77777777" w:rsidR="00B5639A" w:rsidRDefault="00E53E45" w:rsidP="00514F5B">
      <w:pPr>
        <w:pStyle w:val="Listennummer"/>
        <w:numPr>
          <w:ilvl w:val="0"/>
          <w:numId w:val="17"/>
        </w:numPr>
      </w:pPr>
      <w:r>
        <w:rPr>
          <w:b/>
        </w:rPr>
        <w:t>NCIT</w:t>
      </w:r>
      <w:r>
        <w:t>: NCI Thesaurus (National Cancer Institute)</w:t>
      </w:r>
    </w:p>
    <w:p w14:paraId="298FAD6E" w14:textId="77777777" w:rsidR="00B5639A" w:rsidRDefault="00E53E45" w:rsidP="00514F5B">
      <w:pPr>
        <w:pStyle w:val="Listennummer"/>
        <w:numPr>
          <w:ilvl w:val="0"/>
          <w:numId w:val="17"/>
        </w:numPr>
      </w:pPr>
      <w:r>
        <w:rPr>
          <w:b/>
        </w:rPr>
        <w:t>BRENDA Tissue Ontology</w:t>
      </w:r>
      <w:r>
        <w:t>: Tissue classification</w:t>
      </w:r>
    </w:p>
    <w:p w14:paraId="07FD2D4E" w14:textId="77777777" w:rsidR="00B5639A" w:rsidRDefault="00E53E45">
      <w:pPr>
        <w:pStyle w:val="berschrift2"/>
      </w:pPr>
      <w:bookmarkStart w:id="9" w:name="_Toc216792269"/>
      <w:r>
        <w:t>3. Action Needs: Where More Collaboration is Necessary</w:t>
      </w:r>
      <w:bookmarkEnd w:id="9"/>
    </w:p>
    <w:p w14:paraId="16BFC2BC" w14:textId="77777777" w:rsidR="00B5639A" w:rsidRDefault="00E53E45">
      <w:pPr>
        <w:pStyle w:val="berschrift3"/>
      </w:pPr>
      <w:bookmarkStart w:id="10" w:name="_Toc216792270"/>
      <w:r>
        <w:t>3.1 Technical Harmonization Requirements</w:t>
      </w:r>
      <w:bookmarkEnd w:id="10"/>
    </w:p>
    <w:p w14:paraId="559E5F04" w14:textId="77777777" w:rsidR="00B5639A" w:rsidRDefault="00E53E45">
      <w:r>
        <w:t>The workshop plenum identified numerous areas requiring harmonization measures:</w:t>
      </w:r>
    </w:p>
    <w:p w14:paraId="37B0098D" w14:textId="77777777" w:rsidR="00B5639A" w:rsidRDefault="00E53E45">
      <w:pPr>
        <w:pStyle w:val="berschrift4"/>
      </w:pPr>
      <w:r>
        <w:t>Metadata Schema Standardization:</w:t>
      </w:r>
    </w:p>
    <w:p w14:paraId="776B2BAE" w14:textId="77777777" w:rsidR="00B5639A" w:rsidRDefault="00E53E45" w:rsidP="00514F5B">
      <w:pPr>
        <w:pStyle w:val="Listennummer"/>
        <w:numPr>
          <w:ilvl w:val="0"/>
          <w:numId w:val="18"/>
        </w:numPr>
      </w:pPr>
      <w:r>
        <w:t>Currently, consortia work with heterogeneous data formats and structures</w:t>
      </w:r>
    </w:p>
    <w:p w14:paraId="65779AA9" w14:textId="77777777" w:rsidR="00B5639A" w:rsidRDefault="00E53E45" w:rsidP="00514F5B">
      <w:pPr>
        <w:pStyle w:val="Listennummer"/>
        <w:numPr>
          <w:ilvl w:val="0"/>
          <w:numId w:val="18"/>
        </w:numPr>
      </w:pPr>
      <w:r>
        <w:t>A higher-level, consortium-wide definition of metadata structures is needed</w:t>
      </w:r>
    </w:p>
    <w:p w14:paraId="38752754" w14:textId="77777777" w:rsidR="00B5639A" w:rsidRDefault="00E53E45" w:rsidP="00514F5B">
      <w:pPr>
        <w:pStyle w:val="Listennummer"/>
        <w:numPr>
          <w:ilvl w:val="0"/>
          <w:numId w:val="18"/>
        </w:numPr>
      </w:pPr>
      <w:r>
        <w:t>This requires establishing a minimal common set of metadata fields that must be present in all consortia</w:t>
      </w:r>
    </w:p>
    <w:p w14:paraId="01728481" w14:textId="77777777" w:rsidR="00B5639A" w:rsidRDefault="00E53E45">
      <w:pPr>
        <w:pStyle w:val="berschrift4"/>
      </w:pPr>
      <w:r>
        <w:t>Format Standardization:</w:t>
      </w:r>
    </w:p>
    <w:p w14:paraId="21520B2D" w14:textId="77777777" w:rsidR="00B5639A" w:rsidRDefault="00E53E45" w:rsidP="00514F5B">
      <w:pPr>
        <w:pStyle w:val="Listennummer"/>
        <w:numPr>
          <w:ilvl w:val="0"/>
          <w:numId w:val="19"/>
        </w:numPr>
      </w:pPr>
      <w:r>
        <w:t>Transition to non-proprietary, standardized data formats (JSON, XML) is required</w:t>
      </w:r>
    </w:p>
    <w:p w14:paraId="63838DAC" w14:textId="77777777" w:rsidR="00B5639A" w:rsidRDefault="00E53E45" w:rsidP="00514F5B">
      <w:pPr>
        <w:pStyle w:val="Listennummer"/>
        <w:numPr>
          <w:ilvl w:val="0"/>
          <w:numId w:val="19"/>
        </w:numPr>
      </w:pPr>
      <w:r>
        <w:t>This enables machine processing and exchange across system boundaries</w:t>
      </w:r>
    </w:p>
    <w:p w14:paraId="48DEDA09" w14:textId="77777777" w:rsidR="00B5639A" w:rsidRDefault="00E53E45">
      <w:pPr>
        <w:pStyle w:val="berschrift4"/>
      </w:pPr>
      <w:r>
        <w:t>Ontology Harmonization:</w:t>
      </w:r>
    </w:p>
    <w:p w14:paraId="285F65A3" w14:textId="77777777" w:rsidR="00B5639A" w:rsidRDefault="00E53E45" w:rsidP="00514F5B">
      <w:pPr>
        <w:pStyle w:val="Listennummer"/>
        <w:numPr>
          <w:ilvl w:val="0"/>
          <w:numId w:val="20"/>
        </w:numPr>
      </w:pPr>
      <w:r>
        <w:t>Semantic unification is a central challenge: the same biological variable (e.g., "blood pressure") must be defined uniformly across consortia</w:t>
      </w:r>
    </w:p>
    <w:p w14:paraId="6ECAD3F0" w14:textId="77777777" w:rsidR="00B5639A" w:rsidRDefault="00E53E45" w:rsidP="00514F5B">
      <w:pPr>
        <w:pStyle w:val="Listennummer"/>
        <w:numPr>
          <w:ilvl w:val="0"/>
          <w:numId w:val="20"/>
        </w:numPr>
      </w:pPr>
      <w:r>
        <w:t>The identified ontologies must be systematically mapped and harmonized in their usage</w:t>
      </w:r>
    </w:p>
    <w:p w14:paraId="76318117" w14:textId="77777777" w:rsidR="00B5639A" w:rsidRDefault="00E53E45">
      <w:pPr>
        <w:pStyle w:val="berschrift3"/>
      </w:pPr>
      <w:bookmarkStart w:id="11" w:name="_Toc216792271"/>
      <w:r>
        <w:t>3.2 Governance and Data Protection</w:t>
      </w:r>
      <w:bookmarkEnd w:id="11"/>
    </w:p>
    <w:p w14:paraId="64324691" w14:textId="77777777" w:rsidR="00B5639A" w:rsidRDefault="00E53E45">
      <w:pPr>
        <w:pStyle w:val="berschrift4"/>
      </w:pPr>
      <w:r>
        <w:t>Data Governance and Access Controls:</w:t>
      </w:r>
    </w:p>
    <w:p w14:paraId="77CA0236" w14:textId="77777777" w:rsidR="00B5639A" w:rsidRDefault="00E53E45" w:rsidP="00514F5B">
      <w:pPr>
        <w:pStyle w:val="Listennummer"/>
        <w:numPr>
          <w:ilvl w:val="0"/>
          <w:numId w:val="21"/>
        </w:numPr>
      </w:pPr>
      <w:r>
        <w:t xml:space="preserve">A </w:t>
      </w:r>
      <w:r>
        <w:t>shared data governance policy must be established that regulates access, usage, and quality management</w:t>
      </w:r>
    </w:p>
    <w:p w14:paraId="1BC3D425" w14:textId="77777777" w:rsidR="00B5639A" w:rsidRDefault="00E53E45" w:rsidP="00514F5B">
      <w:pPr>
        <w:pStyle w:val="Listennummer"/>
        <w:numPr>
          <w:ilvl w:val="0"/>
          <w:numId w:val="21"/>
        </w:numPr>
      </w:pPr>
      <w:r>
        <w:t>This is particularly important given the sensitive nature of biomedical data</w:t>
      </w:r>
    </w:p>
    <w:p w14:paraId="42AE531A" w14:textId="77777777" w:rsidR="00B5639A" w:rsidRDefault="00E53E45">
      <w:pPr>
        <w:pStyle w:val="berschrift4"/>
      </w:pPr>
      <w:r>
        <w:t>GDPR and Sensitive Data:</w:t>
      </w:r>
    </w:p>
    <w:p w14:paraId="34B6E71C" w14:textId="77777777" w:rsidR="00B5639A" w:rsidRDefault="00E53E45" w:rsidP="00514F5B">
      <w:pPr>
        <w:pStyle w:val="Listennummer"/>
        <w:numPr>
          <w:ilvl w:val="0"/>
          <w:numId w:val="22"/>
        </w:numPr>
      </w:pPr>
      <w:r>
        <w:t>Classification of GDPR-relevant metadata is mandatory</w:t>
      </w:r>
    </w:p>
    <w:p w14:paraId="67CCEEC4" w14:textId="77777777" w:rsidR="00B5639A" w:rsidRDefault="00E53E45" w:rsidP="00514F5B">
      <w:pPr>
        <w:pStyle w:val="Listennummer"/>
        <w:numPr>
          <w:ilvl w:val="0"/>
          <w:numId w:val="22"/>
        </w:numPr>
      </w:pPr>
      <w:r>
        <w:lastRenderedPageBreak/>
        <w:t>The handling of sensitive data and queries (particularly in the context of FDPG – Research Data Protection Act) must be harmonized</w:t>
      </w:r>
    </w:p>
    <w:p w14:paraId="3BF0CDFD" w14:textId="77777777" w:rsidR="00B5639A" w:rsidRDefault="00E53E45" w:rsidP="00514F5B">
      <w:pPr>
        <w:pStyle w:val="Listennummer"/>
        <w:numPr>
          <w:ilvl w:val="0"/>
          <w:numId w:val="22"/>
        </w:numPr>
      </w:pPr>
      <w:r>
        <w:t>A coordinated policy among consortia and institutions such as MII (Medical Informatics Initiative) is necessary</w:t>
      </w:r>
    </w:p>
    <w:p w14:paraId="201B3542" w14:textId="77777777" w:rsidR="00B5639A" w:rsidRDefault="00E53E45">
      <w:pPr>
        <w:pStyle w:val="berschrift3"/>
      </w:pPr>
      <w:bookmarkStart w:id="12" w:name="_Toc216792272"/>
      <w:r>
        <w:t>3.3 Organizational and Personnel Requirements</w:t>
      </w:r>
      <w:bookmarkEnd w:id="12"/>
    </w:p>
    <w:p w14:paraId="4ED6F05B" w14:textId="77777777" w:rsidR="00B5639A" w:rsidRDefault="00E53E45">
      <w:pPr>
        <w:pStyle w:val="berschrift4"/>
      </w:pPr>
      <w:r>
        <w:t>Dedicated Resources:</w:t>
      </w:r>
    </w:p>
    <w:p w14:paraId="26CFA28F" w14:textId="77777777" w:rsidR="00B5639A" w:rsidRDefault="00E53E45" w:rsidP="00514F5B">
      <w:pPr>
        <w:pStyle w:val="Listennummer"/>
        <w:numPr>
          <w:ilvl w:val="0"/>
          <w:numId w:val="23"/>
        </w:numPr>
      </w:pPr>
      <w:r>
        <w:t>Establishment of Metadata Interoperability Group with full-time positions is essential</w:t>
      </w:r>
    </w:p>
    <w:p w14:paraId="069C1714" w14:textId="77777777" w:rsidR="00B5639A" w:rsidRDefault="00E53E45" w:rsidP="00514F5B">
      <w:pPr>
        <w:pStyle w:val="Listennummer"/>
        <w:numPr>
          <w:ilvl w:val="0"/>
          <w:numId w:val="23"/>
        </w:numPr>
      </w:pPr>
      <w:r>
        <w:t>Regular monitoring and update processes also require full-time staff</w:t>
      </w:r>
    </w:p>
    <w:p w14:paraId="2D2E068D" w14:textId="77777777" w:rsidR="00B5639A" w:rsidRDefault="00E53E45" w:rsidP="00514F5B">
      <w:pPr>
        <w:pStyle w:val="Listennummer"/>
        <w:numPr>
          <w:ilvl w:val="0"/>
          <w:numId w:val="23"/>
        </w:numPr>
      </w:pPr>
      <w:r>
        <w:t>This goes beyond purely voluntary or part-time involvement</w:t>
      </w:r>
    </w:p>
    <w:p w14:paraId="59BE101C" w14:textId="77777777" w:rsidR="00B5639A" w:rsidRDefault="00E53E45">
      <w:pPr>
        <w:pStyle w:val="berschrift4"/>
      </w:pPr>
      <w:r>
        <w:t>Training and Knowledge Transfer:</w:t>
      </w:r>
    </w:p>
    <w:p w14:paraId="6B7CE78C" w14:textId="77777777" w:rsidR="00B5639A" w:rsidRDefault="00E53E45" w:rsidP="00514F5B">
      <w:pPr>
        <w:pStyle w:val="Listennummer"/>
        <w:numPr>
          <w:ilvl w:val="0"/>
          <w:numId w:val="24"/>
        </w:numPr>
      </w:pPr>
      <w:r>
        <w:t>Systematic training of users and developers regarding interoperable metadata environments is required</w:t>
      </w:r>
    </w:p>
    <w:p w14:paraId="31CBDCD9" w14:textId="77777777" w:rsidR="00B5639A" w:rsidRDefault="00E53E45" w:rsidP="00514F5B">
      <w:pPr>
        <w:pStyle w:val="Listennummer"/>
        <w:numPr>
          <w:ilvl w:val="0"/>
          <w:numId w:val="24"/>
        </w:numPr>
      </w:pPr>
      <w:r>
        <w:t>A mindset shift toward standardization must be initiated across all consortia and among scientists who produce data</w:t>
      </w:r>
    </w:p>
    <w:p w14:paraId="74E43563" w14:textId="77777777" w:rsidR="00B5639A" w:rsidRDefault="00E53E45">
      <w:pPr>
        <w:pStyle w:val="berschrift4"/>
      </w:pPr>
      <w:r>
        <w:t>Metadata Management Tools:</w:t>
      </w:r>
    </w:p>
    <w:p w14:paraId="71E11EE2" w14:textId="77777777" w:rsidR="00B5639A" w:rsidRDefault="00E53E45" w:rsidP="00514F5B">
      <w:pPr>
        <w:pStyle w:val="Listennummer"/>
        <w:numPr>
          <w:ilvl w:val="0"/>
          <w:numId w:val="25"/>
        </w:numPr>
      </w:pPr>
      <w:r>
        <w:t>Implementation of appropriate metadata management tools can significantly simplify and standardize processes and should be evaluated</w:t>
      </w:r>
    </w:p>
    <w:p w14:paraId="646AB11F" w14:textId="77777777" w:rsidR="00B5639A" w:rsidRDefault="00E53E45">
      <w:pPr>
        <w:pStyle w:val="berschrift2"/>
      </w:pPr>
      <w:bookmarkStart w:id="13" w:name="_Toc216792273"/>
      <w:r>
        <w:t>4. The Value: Benefits of Metadata Interoperability</w:t>
      </w:r>
      <w:bookmarkEnd w:id="13"/>
    </w:p>
    <w:p w14:paraId="6C19D730" w14:textId="77777777" w:rsidR="00B5639A" w:rsidRDefault="00E53E45">
      <w:pPr>
        <w:pStyle w:val="berschrift3"/>
      </w:pPr>
      <w:bookmarkStart w:id="14" w:name="_Toc216792274"/>
      <w:r>
        <w:t>4.1 FAIR Compliance and Data Quality</w:t>
      </w:r>
      <w:bookmarkEnd w:id="14"/>
    </w:p>
    <w:p w14:paraId="36613FFA" w14:textId="77777777" w:rsidR="00B5639A" w:rsidRDefault="00E53E45">
      <w:r>
        <w:t>The first and most important benefit is that metadata interoperability enables FAIR-compliant research data:</w:t>
      </w:r>
    </w:p>
    <w:p w14:paraId="4BE03741" w14:textId="77777777" w:rsidR="00B5639A" w:rsidRDefault="00E53E45" w:rsidP="00514F5B">
      <w:pPr>
        <w:pStyle w:val="Listennummer"/>
        <w:numPr>
          <w:ilvl w:val="0"/>
          <w:numId w:val="26"/>
        </w:numPr>
      </w:pPr>
      <w:r>
        <w:t>Findable: Standardized metadata makes research data more easily discoverable in large repositories</w:t>
      </w:r>
    </w:p>
    <w:p w14:paraId="73B4A5DB" w14:textId="77777777" w:rsidR="00B5639A" w:rsidRDefault="00E53E45" w:rsidP="00514F5B">
      <w:pPr>
        <w:pStyle w:val="Listennummer"/>
        <w:numPr>
          <w:ilvl w:val="0"/>
          <w:numId w:val="26"/>
        </w:numPr>
      </w:pPr>
      <w:r>
        <w:t xml:space="preserve">Accessible: Uniform access </w:t>
      </w:r>
      <w:r>
        <w:t>mechanisms and access controls</w:t>
      </w:r>
    </w:p>
    <w:p w14:paraId="744BBC50" w14:textId="77777777" w:rsidR="00B5639A" w:rsidRDefault="00E53E45" w:rsidP="00514F5B">
      <w:pPr>
        <w:pStyle w:val="Listennummer"/>
        <w:numPr>
          <w:ilvl w:val="0"/>
          <w:numId w:val="26"/>
        </w:numPr>
      </w:pPr>
      <w:r>
        <w:t>Interoperable: This is the core of the present effort</w:t>
      </w:r>
    </w:p>
    <w:p w14:paraId="18844FB6" w14:textId="77777777" w:rsidR="00B5639A" w:rsidRDefault="00E53E45" w:rsidP="00514F5B">
      <w:pPr>
        <w:pStyle w:val="Listennummer"/>
        <w:numPr>
          <w:ilvl w:val="0"/>
          <w:numId w:val="26"/>
        </w:numPr>
      </w:pPr>
      <w:r>
        <w:t>Reusable: Sufficiently documented metadata allows other researchers to safely reuse or reproduce data</w:t>
      </w:r>
    </w:p>
    <w:p w14:paraId="26F2BC54" w14:textId="77777777" w:rsidR="00B5639A" w:rsidRDefault="00E53E45">
      <w:pPr>
        <w:pStyle w:val="berschrift3"/>
      </w:pPr>
      <w:bookmarkStart w:id="15" w:name="_Toc216792275"/>
      <w:r>
        <w:t>4.2 Cross-Domain Data Integration and Data Fusion</w:t>
      </w:r>
      <w:bookmarkEnd w:id="15"/>
    </w:p>
    <w:p w14:paraId="492FB9BB" w14:textId="77777777" w:rsidR="00B5639A" w:rsidRDefault="00E53E45">
      <w:r>
        <w:t>Metadata interoperability enables seamless combination of heterogeneous data types – such as genomic profiles with clinical history, imaging, and other data sources:</w:t>
      </w:r>
    </w:p>
    <w:p w14:paraId="46F52542" w14:textId="77777777" w:rsidR="00B5639A" w:rsidRDefault="00E53E45">
      <w:pPr>
        <w:pStyle w:val="berschrift4"/>
      </w:pPr>
      <w:r>
        <w:t>Mechanism:</w:t>
      </w:r>
    </w:p>
    <w:p w14:paraId="45A32526" w14:textId="77777777" w:rsidR="00B5639A" w:rsidRDefault="00E53E45" w:rsidP="00514F5B">
      <w:pPr>
        <w:pStyle w:val="Listennummer"/>
        <w:numPr>
          <w:ilvl w:val="0"/>
          <w:numId w:val="27"/>
        </w:numPr>
      </w:pPr>
      <w:r>
        <w:t xml:space="preserve">Through the use of shared ontologies (e.g., SNOMED CT, LOINC) and standardized metadata </w:t>
      </w:r>
      <w:r>
        <w:t>schemas, different data types can be linked without requiring manual mapping</w:t>
      </w:r>
    </w:p>
    <w:p w14:paraId="1ED50A48" w14:textId="77777777" w:rsidR="00B5639A" w:rsidRDefault="00E53E45">
      <w:pPr>
        <w:pStyle w:val="berschrift4"/>
      </w:pPr>
      <w:r>
        <w:lastRenderedPageBreak/>
        <w:t>Concrete Benefits:</w:t>
      </w:r>
    </w:p>
    <w:p w14:paraId="6DF84013" w14:textId="77777777" w:rsidR="00B5639A" w:rsidRDefault="00E53E45" w:rsidP="00514F5B">
      <w:pPr>
        <w:pStyle w:val="Listennummer"/>
        <w:numPr>
          <w:ilvl w:val="0"/>
          <w:numId w:val="28"/>
        </w:numPr>
      </w:pPr>
      <w:r>
        <w:t>This breaks down data silos that traditionally exist between different research disciplines and institutions</w:t>
      </w:r>
    </w:p>
    <w:p w14:paraId="67BF0386" w14:textId="77777777" w:rsidR="00B5639A" w:rsidRDefault="00E53E45" w:rsidP="00514F5B">
      <w:pPr>
        <w:pStyle w:val="Listennummer"/>
        <w:numPr>
          <w:ilvl w:val="0"/>
          <w:numId w:val="28"/>
        </w:numPr>
      </w:pPr>
      <w:r>
        <w:t>Researchers can now recognize complex relationships between different biological levels (e.g., genotype vs. phenotype) that were previously not easily accessible</w:t>
      </w:r>
    </w:p>
    <w:p w14:paraId="25F717CE" w14:textId="77777777" w:rsidR="00B5639A" w:rsidRDefault="00E53E45" w:rsidP="00514F5B">
      <w:pPr>
        <w:pStyle w:val="Listennummer"/>
        <w:numPr>
          <w:ilvl w:val="0"/>
          <w:numId w:val="28"/>
        </w:numPr>
      </w:pPr>
      <w:r>
        <w:t>This enables entirely new biomedical insights that can elucidate the origins of complex disease mechanisms</w:t>
      </w:r>
    </w:p>
    <w:p w14:paraId="1358F170" w14:textId="77777777" w:rsidR="00B5639A" w:rsidRDefault="00E53E45">
      <w:pPr>
        <w:pStyle w:val="berschrift3"/>
      </w:pPr>
      <w:bookmarkStart w:id="16" w:name="_Toc216792276"/>
      <w:r>
        <w:t>4.3 Machine Readability and Semantic Consistency</w:t>
      </w:r>
      <w:bookmarkEnd w:id="16"/>
    </w:p>
    <w:p w14:paraId="5633009F" w14:textId="77777777" w:rsidR="00B5639A" w:rsidRDefault="00E53E45">
      <w:r>
        <w:t>For effective deployment of artificial intelligence, structural and semantic consistency of data is mandatory:</w:t>
      </w:r>
    </w:p>
    <w:p w14:paraId="7DABB0AB" w14:textId="77777777" w:rsidR="00B5639A" w:rsidRDefault="00E53E45">
      <w:pPr>
        <w:pStyle w:val="berschrift4"/>
      </w:pPr>
      <w:r>
        <w:t>Machine Readability:</w:t>
      </w:r>
    </w:p>
    <w:p w14:paraId="3EA59951" w14:textId="77777777" w:rsidR="00B5639A" w:rsidRDefault="00E53E45" w:rsidP="00514F5B">
      <w:pPr>
        <w:pStyle w:val="Listennummer"/>
        <w:numPr>
          <w:ilvl w:val="0"/>
          <w:numId w:val="29"/>
        </w:numPr>
      </w:pPr>
      <w:r>
        <w:t>Interoperable metadata ensures that a variable like "blood pressure" is defined exactly identically across consortia and systems</w:t>
      </w:r>
    </w:p>
    <w:p w14:paraId="71F78261" w14:textId="77777777" w:rsidR="00B5639A" w:rsidRDefault="00E53E45" w:rsidP="00514F5B">
      <w:pPr>
        <w:pStyle w:val="Listennummer"/>
        <w:numPr>
          <w:ilvl w:val="0"/>
          <w:numId w:val="29"/>
        </w:numPr>
      </w:pPr>
      <w:r>
        <w:t>This enables AI agents to federate and analyze data across institutional boundaries without requiring human intervention for cleaning or interpretation</w:t>
      </w:r>
    </w:p>
    <w:p w14:paraId="3F51A7CB" w14:textId="77777777" w:rsidR="00B5639A" w:rsidRDefault="00E53E45">
      <w:pPr>
        <w:pStyle w:val="berschrift4"/>
      </w:pPr>
      <w:r>
        <w:t>Algorithm Robustness:</w:t>
      </w:r>
    </w:p>
    <w:p w14:paraId="3A9EE798" w14:textId="77777777" w:rsidR="00B5639A" w:rsidRDefault="00E53E45" w:rsidP="00514F5B">
      <w:pPr>
        <w:pStyle w:val="Listennummer"/>
        <w:numPr>
          <w:ilvl w:val="0"/>
          <w:numId w:val="30"/>
        </w:numPr>
      </w:pPr>
      <w:r>
        <w:t>This allows robust, unbiased algorithms to be trained</w:t>
      </w:r>
    </w:p>
    <w:p w14:paraId="7D278BAE" w14:textId="77777777" w:rsidR="00B5639A" w:rsidRDefault="00E53E45" w:rsidP="00514F5B">
      <w:pPr>
        <w:pStyle w:val="Listennummer"/>
        <w:numPr>
          <w:ilvl w:val="0"/>
          <w:numId w:val="30"/>
        </w:numPr>
      </w:pPr>
      <w:r>
        <w:t>The quality and generalizability of machine learning models is significantly improved</w:t>
      </w:r>
    </w:p>
    <w:p w14:paraId="71268DC4" w14:textId="77777777" w:rsidR="00B5639A" w:rsidRDefault="00E53E45">
      <w:pPr>
        <w:pStyle w:val="berschrift3"/>
      </w:pPr>
      <w:bookmarkStart w:id="17" w:name="_Toc216792277"/>
      <w:r>
        <w:t>4.4 Scalable Reproducibility and Meta-Analyses</w:t>
      </w:r>
      <w:bookmarkEnd w:id="17"/>
    </w:p>
    <w:p w14:paraId="6F198645" w14:textId="77777777" w:rsidR="00B5639A" w:rsidRDefault="00E53E45">
      <w:r>
        <w:t>Standardized metadata transforms local research findings into global knowledge:</w:t>
      </w:r>
    </w:p>
    <w:p w14:paraId="4140FED3" w14:textId="77777777" w:rsidR="00B5639A" w:rsidRDefault="00E53E45">
      <w:pPr>
        <w:pStyle w:val="berschrift4"/>
      </w:pPr>
      <w:r>
        <w:t>Reproducibility:</w:t>
      </w:r>
    </w:p>
    <w:p w14:paraId="757CC4EF" w14:textId="77777777" w:rsidR="00B5639A" w:rsidRDefault="00E53E45" w:rsidP="00514F5B">
      <w:pPr>
        <w:pStyle w:val="Listennummer"/>
        <w:numPr>
          <w:ilvl w:val="0"/>
          <w:numId w:val="31"/>
        </w:numPr>
      </w:pPr>
      <w:r>
        <w:t>When metadata comply with global standards, the experimental context (assay types, machine settings, analysis parameters) is universally understandable</w:t>
      </w:r>
    </w:p>
    <w:p w14:paraId="4E9BEE53" w14:textId="77777777" w:rsidR="00B5639A" w:rsidRDefault="00E53E45" w:rsidP="00514F5B">
      <w:pPr>
        <w:pStyle w:val="Listennummer"/>
        <w:numPr>
          <w:ilvl w:val="0"/>
          <w:numId w:val="31"/>
        </w:numPr>
      </w:pPr>
      <w:r>
        <w:t>This enables independent laboratories to precisely replicate studies or aggregate small datasets into large cohorts through meta-analyses</w:t>
      </w:r>
    </w:p>
    <w:p w14:paraId="4F12B666" w14:textId="77777777" w:rsidR="00B5639A" w:rsidRDefault="00E53E45">
      <w:pPr>
        <w:pStyle w:val="berschrift4"/>
      </w:pPr>
      <w:r>
        <w:t>Scientific Impact:</w:t>
      </w:r>
    </w:p>
    <w:p w14:paraId="1BEC5580" w14:textId="77777777" w:rsidR="00B5639A" w:rsidRDefault="00E53E45" w:rsidP="00514F5B">
      <w:pPr>
        <w:pStyle w:val="Listennummer"/>
        <w:numPr>
          <w:ilvl w:val="0"/>
          <w:numId w:val="32"/>
        </w:numPr>
      </w:pPr>
      <w:r>
        <w:t>Meta-analyses gain significantly higher statistical power</w:t>
      </w:r>
    </w:p>
    <w:p w14:paraId="5498DF4C" w14:textId="77777777" w:rsidR="00B5639A" w:rsidRDefault="00E53E45" w:rsidP="00514F5B">
      <w:pPr>
        <w:pStyle w:val="Listennummer"/>
        <w:numPr>
          <w:ilvl w:val="0"/>
          <w:numId w:val="32"/>
        </w:numPr>
      </w:pPr>
      <w:r>
        <w:t>Validation of new treatments is accelerated</w:t>
      </w:r>
    </w:p>
    <w:p w14:paraId="07BB519C" w14:textId="77777777" w:rsidR="00B5639A" w:rsidRDefault="00E53E45" w:rsidP="00514F5B">
      <w:pPr>
        <w:pStyle w:val="Listennummer"/>
        <w:numPr>
          <w:ilvl w:val="0"/>
          <w:numId w:val="32"/>
        </w:numPr>
      </w:pPr>
      <w:r>
        <w:t>New transdisciplinary insights emerge through combining previously isolated data sources</w:t>
      </w:r>
    </w:p>
    <w:p w14:paraId="38368FD6" w14:textId="77777777" w:rsidR="00B5639A" w:rsidRDefault="00E53E45">
      <w:pPr>
        <w:pStyle w:val="berschrift2"/>
      </w:pPr>
      <w:bookmarkStart w:id="18" w:name="_Toc216792278"/>
      <w:r>
        <w:t>5. The Vision: Metadata Interoperability in BioMed</w:t>
      </w:r>
      <w:bookmarkEnd w:id="18"/>
    </w:p>
    <w:p w14:paraId="2038C722" w14:textId="77777777" w:rsidR="00B5639A" w:rsidRDefault="00E53E45">
      <w:pPr>
        <w:pStyle w:val="berschrift3"/>
      </w:pPr>
      <w:bookmarkStart w:id="19" w:name="_Toc216792279"/>
      <w:r>
        <w:t>5.1 Future Scenario: "One-Stop-Shop" for Biomedical Data</w:t>
      </w:r>
      <w:bookmarkEnd w:id="19"/>
    </w:p>
    <w:p w14:paraId="3D3C1448" w14:textId="77777777" w:rsidR="00B5639A" w:rsidRDefault="00E53E45">
      <w:r>
        <w:t>The BioMed consortia pursue an ambitious vision for the future:</w:t>
      </w:r>
    </w:p>
    <w:p w14:paraId="44E2D916" w14:textId="77777777" w:rsidR="00B5639A" w:rsidRDefault="00E53E45">
      <w:pPr>
        <w:pStyle w:val="berschrift4"/>
      </w:pPr>
      <w:r>
        <w:t>Core Concept:</w:t>
      </w:r>
    </w:p>
    <w:p w14:paraId="4DAEED0B" w14:textId="77777777" w:rsidR="00B5639A" w:rsidRDefault="00E53E45">
      <w:r>
        <w:t xml:space="preserve">A shared </w:t>
      </w:r>
      <w:r>
        <w:rPr>
          <w:b/>
        </w:rPr>
        <w:t>BioMed website</w:t>
      </w:r>
      <w:r>
        <w:t xml:space="preserve"> should enable comprehensive search across all repositories provided or managed by the consortia (GHGA, NFDI4Bioimage, NFDI4Health, </w:t>
      </w:r>
      <w:r>
        <w:lastRenderedPageBreak/>
        <w:t xml:space="preserve">NFDI4Immuno &amp; NFDI4Microbiota). This search should function on the basis of </w:t>
      </w:r>
      <w:r>
        <w:rPr>
          <w:b/>
        </w:rPr>
        <w:t>consortium-wide standardized metadata</w:t>
      </w:r>
      <w:r>
        <w:t>.</w:t>
      </w:r>
    </w:p>
    <w:p w14:paraId="4AC8A6D9" w14:textId="77777777" w:rsidR="00B5639A" w:rsidRDefault="00E53E45">
      <w:pPr>
        <w:pStyle w:val="berschrift4"/>
      </w:pPr>
      <w:r>
        <w:t>Technical Implementation:</w:t>
      </w:r>
    </w:p>
    <w:p w14:paraId="0EB5A33C" w14:textId="77777777" w:rsidR="00B5639A" w:rsidRDefault="00E53E45" w:rsidP="00514F5B">
      <w:pPr>
        <w:pStyle w:val="Listennummer"/>
        <w:numPr>
          <w:ilvl w:val="0"/>
          <w:numId w:val="33"/>
        </w:numPr>
      </w:pPr>
      <w:r>
        <w:t xml:space="preserve">Each service provides unique Accession-IDs that enable </w:t>
      </w:r>
      <w:r>
        <w:t>consortium-wide linking of datasets (e.g., with prefixes IMU/MIC/IMA/HEA/GHG)</w:t>
      </w:r>
    </w:p>
    <w:p w14:paraId="6943E473" w14:textId="77777777" w:rsidR="00B5639A" w:rsidRDefault="00E53E45" w:rsidP="00514F5B">
      <w:pPr>
        <w:pStyle w:val="Listennummer"/>
        <w:numPr>
          <w:ilvl w:val="0"/>
          <w:numId w:val="33"/>
        </w:numPr>
      </w:pPr>
      <w:r>
        <w:t>This creates a federated system where individual repositories maintain autonomy while being seamlessly interconnected</w:t>
      </w:r>
    </w:p>
    <w:p w14:paraId="6C9FFDB2" w14:textId="77777777" w:rsidR="00B5639A" w:rsidRDefault="00E53E45">
      <w:pPr>
        <w:pStyle w:val="berschrift3"/>
      </w:pPr>
      <w:bookmarkStart w:id="20" w:name="_Toc216792280"/>
      <w:r>
        <w:t>5.2 Must-Haves: Required Implementation Steps</w:t>
      </w:r>
      <w:bookmarkEnd w:id="20"/>
    </w:p>
    <w:p w14:paraId="50D48169" w14:textId="77777777" w:rsidR="00B5639A" w:rsidRDefault="00E53E45">
      <w:r>
        <w:t>For this vision to become reality, the following minimum requirements must be met:</w:t>
      </w:r>
    </w:p>
    <w:p w14:paraId="03757AC8" w14:textId="77777777" w:rsidR="00B5639A" w:rsidRDefault="00E53E45" w:rsidP="00514F5B">
      <w:pPr>
        <w:pStyle w:val="Listennummer"/>
        <w:numPr>
          <w:ilvl w:val="0"/>
          <w:numId w:val="34"/>
        </w:numPr>
      </w:pPr>
      <w:r>
        <w:t>Shared Metadata Understanding: Agreement on higher-level metadata structures and concepts that all consortia accept and implement</w:t>
      </w:r>
    </w:p>
    <w:p w14:paraId="4CF3F1C5" w14:textId="77777777" w:rsidR="00B5639A" w:rsidRDefault="00E53E45" w:rsidP="00514F5B">
      <w:pPr>
        <w:pStyle w:val="Listennummer"/>
        <w:numPr>
          <w:ilvl w:val="0"/>
          <w:numId w:val="34"/>
        </w:numPr>
      </w:pPr>
      <w:r>
        <w:t>Minimal Shared Metadata Set: Definition of a standardized minimum of metadata fields required for consortium-wide search</w:t>
      </w:r>
    </w:p>
    <w:p w14:paraId="458EE55D" w14:textId="77777777" w:rsidR="00B5639A" w:rsidRDefault="00E53E45" w:rsidP="00514F5B">
      <w:pPr>
        <w:pStyle w:val="Listennummer"/>
        <w:numPr>
          <w:ilvl w:val="0"/>
          <w:numId w:val="34"/>
        </w:numPr>
      </w:pPr>
      <w:r>
        <w:t>Semantic Harmonization: Definition of higher-level agreements regarding the semantics (content) of important fields – particularly the choice and mapping of ontologies</w:t>
      </w:r>
    </w:p>
    <w:p w14:paraId="1601EF9D" w14:textId="77777777" w:rsidR="00B5639A" w:rsidRDefault="00E53E45" w:rsidP="00514F5B">
      <w:pPr>
        <w:pStyle w:val="Listennummer"/>
        <w:numPr>
          <w:ilvl w:val="0"/>
          <w:numId w:val="34"/>
        </w:numPr>
      </w:pPr>
      <w:r>
        <w:t>HealthDCAT AP Mapping: Mapping of consortium-specific metadata to the Health Data Catalog Application Profile (DCAT AP)</w:t>
      </w:r>
    </w:p>
    <w:p w14:paraId="635210CE" w14:textId="77777777" w:rsidR="00B5639A" w:rsidRDefault="00E53E45" w:rsidP="00514F5B">
      <w:pPr>
        <w:pStyle w:val="Listennummer"/>
        <w:numPr>
          <w:ilvl w:val="0"/>
          <w:numId w:val="34"/>
        </w:numPr>
      </w:pPr>
      <w:r>
        <w:t>Privacy Through Aggregation: Search results can be filtered by disease, age, gender, etc., but output occurs only at the aggregated study level (not individual case level) to ensure data privacy</w:t>
      </w:r>
    </w:p>
    <w:p w14:paraId="5E5BA692" w14:textId="77777777" w:rsidR="00B5639A" w:rsidRDefault="00E53E45">
      <w:pPr>
        <w:pStyle w:val="berschrift3"/>
      </w:pPr>
      <w:bookmarkStart w:id="21" w:name="_Toc216792281"/>
      <w:r>
        <w:t>5.3 Nice-to-Haves: Extended Functionalities</w:t>
      </w:r>
      <w:bookmarkEnd w:id="21"/>
    </w:p>
    <w:p w14:paraId="7D1212EA" w14:textId="77777777" w:rsidR="00B5639A" w:rsidRDefault="00E53E45">
      <w:r>
        <w:t>Additionally, the following enhanced functions were identified as desirable:</w:t>
      </w:r>
    </w:p>
    <w:p w14:paraId="396CA015" w14:textId="77777777" w:rsidR="00B5639A" w:rsidRDefault="00E53E45" w:rsidP="00514F5B">
      <w:pPr>
        <w:pStyle w:val="Listennummer"/>
        <w:numPr>
          <w:ilvl w:val="0"/>
          <w:numId w:val="35"/>
        </w:numPr>
      </w:pPr>
      <w:r>
        <w:t>NFDI-IDs for Institutions: Standardized identifiers for research institutions</w:t>
      </w:r>
    </w:p>
    <w:p w14:paraId="17460FE3" w14:textId="77777777" w:rsidR="00B5639A" w:rsidRDefault="00E53E45" w:rsidP="00514F5B">
      <w:pPr>
        <w:pStyle w:val="Listennummer"/>
        <w:numPr>
          <w:ilvl w:val="0"/>
          <w:numId w:val="35"/>
        </w:numPr>
      </w:pPr>
      <w:r>
        <w:t xml:space="preserve">FHIR Mapping: </w:t>
      </w:r>
      <w:r>
        <w:t>Complete support of the FHIR standard (if possible)</w:t>
      </w:r>
    </w:p>
    <w:p w14:paraId="75DC2B2A" w14:textId="77777777" w:rsidR="00B5639A" w:rsidRDefault="00E53E45" w:rsidP="00514F5B">
      <w:pPr>
        <w:pStyle w:val="Listennummer"/>
        <w:numPr>
          <w:ilvl w:val="0"/>
          <w:numId w:val="35"/>
        </w:numPr>
      </w:pPr>
      <w:r>
        <w:t>Semantic Unification: Deeper standards harmonization beyond DCAT</w:t>
      </w:r>
    </w:p>
    <w:p w14:paraId="1A70D0D6" w14:textId="77777777" w:rsidR="00B5639A" w:rsidRDefault="00E53E45" w:rsidP="00514F5B">
      <w:pPr>
        <w:pStyle w:val="Listennummer"/>
        <w:numPr>
          <w:ilvl w:val="0"/>
          <w:numId w:val="35"/>
        </w:numPr>
      </w:pPr>
      <w:r>
        <w:t>International Repository Metadata Crawling: Automatic capture of metadata from international data sources</w:t>
      </w:r>
    </w:p>
    <w:p w14:paraId="75086ED7" w14:textId="77777777" w:rsidR="00B5639A" w:rsidRDefault="00E53E45" w:rsidP="00514F5B">
      <w:pPr>
        <w:pStyle w:val="Listennummer"/>
        <w:numPr>
          <w:ilvl w:val="0"/>
          <w:numId w:val="35"/>
        </w:numPr>
      </w:pPr>
      <w:r>
        <w:t>Automatic NFDI-ID Generation: When data is uploaded to other repositories via NFDI services, automatic ID generation</w:t>
      </w:r>
    </w:p>
    <w:p w14:paraId="5F912AC9" w14:textId="77777777" w:rsidR="00B5639A" w:rsidRDefault="00E53E45" w:rsidP="00514F5B">
      <w:pPr>
        <w:pStyle w:val="Listennummer"/>
        <w:numPr>
          <w:ilvl w:val="0"/>
          <w:numId w:val="35"/>
        </w:numPr>
      </w:pPr>
      <w:r>
        <w:t>FAIRification at External Repositories: Improvement of FAIR compliance for data hosted at other international repositories</w:t>
      </w:r>
    </w:p>
    <w:p w14:paraId="5F234473" w14:textId="77777777" w:rsidR="00B5639A" w:rsidRDefault="00E53E45" w:rsidP="00514F5B">
      <w:pPr>
        <w:pStyle w:val="Listennummer"/>
        <w:numPr>
          <w:ilvl w:val="0"/>
          <w:numId w:val="35"/>
        </w:numPr>
      </w:pPr>
      <w:r>
        <w:t>Knowledge Graph Implementation: Graph-based representation of relationships between entities (samples, studies, phenotypes) to support complex queries</w:t>
      </w:r>
    </w:p>
    <w:p w14:paraId="6705CB0A" w14:textId="77777777" w:rsidR="00B5639A" w:rsidRDefault="00E53E45">
      <w:pPr>
        <w:pStyle w:val="berschrift2"/>
      </w:pPr>
      <w:bookmarkStart w:id="22" w:name="_Toc216792282"/>
      <w:r>
        <w:t>6. Roadmap: Path to Implementation</w:t>
      </w:r>
      <w:bookmarkEnd w:id="22"/>
    </w:p>
    <w:p w14:paraId="644B219C" w14:textId="77777777" w:rsidR="00B5639A" w:rsidRDefault="00E53E45">
      <w:pPr>
        <w:pStyle w:val="berschrift3"/>
      </w:pPr>
      <w:bookmarkStart w:id="23" w:name="_Toc216792283"/>
      <w:r>
        <w:t>6.1 Immediate Measures</w:t>
      </w:r>
      <w:bookmarkEnd w:id="23"/>
    </w:p>
    <w:p w14:paraId="31555BDA" w14:textId="77777777" w:rsidR="00B5639A" w:rsidRDefault="00E53E45">
      <w:pPr>
        <w:pStyle w:val="berschrift4"/>
      </w:pPr>
      <w:r>
        <w:t>Clarification of Positions (Q1 2026):</w:t>
      </w:r>
    </w:p>
    <w:p w14:paraId="32B18F8A" w14:textId="77777777" w:rsidR="00B5639A" w:rsidRDefault="00E53E45" w:rsidP="00514F5B">
      <w:pPr>
        <w:pStyle w:val="Listennummer"/>
        <w:numPr>
          <w:ilvl w:val="0"/>
          <w:numId w:val="36"/>
        </w:numPr>
      </w:pPr>
      <w:r>
        <w:t>Each consortium documents its status regarding HealthDCAT and FHIR mapping</w:t>
      </w:r>
    </w:p>
    <w:p w14:paraId="60DC76B3" w14:textId="77777777" w:rsidR="00B5639A" w:rsidRDefault="00E53E45" w:rsidP="00514F5B">
      <w:pPr>
        <w:pStyle w:val="Listennummer"/>
        <w:numPr>
          <w:ilvl w:val="0"/>
          <w:numId w:val="36"/>
        </w:numPr>
      </w:pPr>
      <w:r>
        <w:lastRenderedPageBreak/>
        <w:t>This enables realistic assessment of implementation effort</w:t>
      </w:r>
    </w:p>
    <w:p w14:paraId="04C29B81" w14:textId="77777777" w:rsidR="00B5639A" w:rsidRDefault="00E53E45">
      <w:pPr>
        <w:pStyle w:val="berschrift4"/>
      </w:pPr>
      <w:r>
        <w:t>Establishment of Shared Terminology:</w:t>
      </w:r>
    </w:p>
    <w:p w14:paraId="38D45B9C" w14:textId="77777777" w:rsidR="00B5639A" w:rsidRDefault="00E53E45" w:rsidP="00514F5B">
      <w:pPr>
        <w:pStyle w:val="Listennummer"/>
        <w:numPr>
          <w:ilvl w:val="0"/>
          <w:numId w:val="37"/>
        </w:numPr>
      </w:pPr>
      <w:r>
        <w:t>Consortia develop a shared vocabulary to avoid talking past each other in future discussions</w:t>
      </w:r>
    </w:p>
    <w:p w14:paraId="45CB4EE8" w14:textId="77777777" w:rsidR="00B5639A" w:rsidRDefault="00E53E45" w:rsidP="00514F5B">
      <w:pPr>
        <w:pStyle w:val="Listennummer"/>
        <w:numPr>
          <w:ilvl w:val="0"/>
          <w:numId w:val="37"/>
        </w:numPr>
      </w:pPr>
      <w:r>
        <w:t>This prevents misunderstandings and accelerates technical harmonization</w:t>
      </w:r>
    </w:p>
    <w:p w14:paraId="239EEEF4" w14:textId="77777777" w:rsidR="00B5639A" w:rsidRDefault="00E53E45">
      <w:pPr>
        <w:pStyle w:val="berschrift3"/>
      </w:pPr>
      <w:bookmarkStart w:id="24" w:name="_Toc216792284"/>
      <w:r>
        <w:t>6.2 Medium-Term Measures</w:t>
      </w:r>
      <w:bookmarkEnd w:id="24"/>
    </w:p>
    <w:p w14:paraId="2341C3DC" w14:textId="77777777" w:rsidR="00B5639A" w:rsidRDefault="00E53E45">
      <w:pPr>
        <w:pStyle w:val="berschrift4"/>
      </w:pPr>
      <w:r>
        <w:t>Ontology Mapping:</w:t>
      </w:r>
    </w:p>
    <w:p w14:paraId="2D0391C2" w14:textId="77777777" w:rsidR="00B5639A" w:rsidRDefault="00E53E45" w:rsidP="00514F5B">
      <w:pPr>
        <w:pStyle w:val="Listennummer"/>
        <w:numPr>
          <w:ilvl w:val="0"/>
          <w:numId w:val="38"/>
        </w:numPr>
      </w:pPr>
      <w:r>
        <w:t>Systematic capture of all ontologies used by each consortium</w:t>
      </w:r>
    </w:p>
    <w:p w14:paraId="7CFB9A36" w14:textId="77777777" w:rsidR="00B5639A" w:rsidRDefault="00E53E45" w:rsidP="00514F5B">
      <w:pPr>
        <w:pStyle w:val="Listennummer"/>
        <w:numPr>
          <w:ilvl w:val="0"/>
          <w:numId w:val="38"/>
        </w:numPr>
      </w:pPr>
      <w:r>
        <w:t xml:space="preserve">Identification of overlaps between ontologies (e.g., NCBItaxon, ICD-10, UBERON, SNOMED, LOINC, NCIT, BRENDA Tissue </w:t>
      </w:r>
      <w:r>
        <w:t>Ontology)</w:t>
      </w:r>
    </w:p>
    <w:p w14:paraId="5B58088B" w14:textId="77777777" w:rsidR="00B5639A" w:rsidRDefault="00E53E45" w:rsidP="00514F5B">
      <w:pPr>
        <w:pStyle w:val="Listennummer"/>
        <w:numPr>
          <w:ilvl w:val="0"/>
          <w:numId w:val="38"/>
        </w:numPr>
      </w:pPr>
      <w:r>
        <w:t>Creation of mapping documents for these ontologies</w:t>
      </w:r>
    </w:p>
    <w:p w14:paraId="5B4CB14F" w14:textId="77777777" w:rsidR="00B5639A" w:rsidRDefault="00E53E45" w:rsidP="00514F5B">
      <w:pPr>
        <w:pStyle w:val="Listennummer"/>
        <w:numPr>
          <w:ilvl w:val="0"/>
          <w:numId w:val="38"/>
        </w:numPr>
      </w:pPr>
      <w:r>
        <w:t>This establishes the foundation for semantic interoperability</w:t>
      </w:r>
    </w:p>
    <w:p w14:paraId="283B045C" w14:textId="77777777" w:rsidR="00B5639A" w:rsidRDefault="00E53E45">
      <w:pPr>
        <w:pStyle w:val="berschrift4"/>
      </w:pPr>
      <w:r>
        <w:t>NFDI4Health–GHGA Mapping:</w:t>
      </w:r>
    </w:p>
    <w:p w14:paraId="7B22FD08" w14:textId="77777777" w:rsidR="00B5639A" w:rsidRDefault="00E53E45" w:rsidP="00514F5B">
      <w:pPr>
        <w:pStyle w:val="Listennummer"/>
        <w:numPr>
          <w:ilvl w:val="0"/>
          <w:numId w:val="39"/>
        </w:numPr>
      </w:pPr>
      <w:r>
        <w:t>Deeper mapping between the metadata standards of the two largest consortia, learning from previous attempts</w:t>
      </w:r>
    </w:p>
    <w:p w14:paraId="08522448" w14:textId="77777777" w:rsidR="00B5639A" w:rsidRDefault="00E53E45">
      <w:pPr>
        <w:pStyle w:val="berschrift4"/>
      </w:pPr>
      <w:r>
        <w:t>HealthDCAT and FHIR Implementation:</w:t>
      </w:r>
    </w:p>
    <w:p w14:paraId="524681BF" w14:textId="77777777" w:rsidR="00B5639A" w:rsidRDefault="00E53E45" w:rsidP="00514F5B">
      <w:pPr>
        <w:pStyle w:val="Listennummer"/>
        <w:numPr>
          <w:ilvl w:val="0"/>
          <w:numId w:val="40"/>
        </w:numPr>
      </w:pPr>
      <w:r>
        <w:t>Phased implementation of these standards in consortia that have not yet adopted them</w:t>
      </w:r>
    </w:p>
    <w:p w14:paraId="75EC60F0" w14:textId="77777777" w:rsidR="00B5639A" w:rsidRDefault="00E53E45">
      <w:pPr>
        <w:pStyle w:val="berschrift3"/>
      </w:pPr>
      <w:bookmarkStart w:id="25" w:name="_Toc216792285"/>
      <w:r>
        <w:t>6.3 Action Items and Responsibilities</w:t>
      </w:r>
      <w:bookmarkEnd w:id="25"/>
    </w:p>
    <w:p w14:paraId="084FCE41" w14:textId="77777777" w:rsidR="00B5639A" w:rsidRDefault="00E53E45">
      <w:r>
        <w:t>The workshop identified the following concrete action items requiring attention:</w:t>
      </w:r>
    </w:p>
    <w:p w14:paraId="78A838D9" w14:textId="77777777" w:rsidR="00B5639A" w:rsidRDefault="00E53E45" w:rsidP="00514F5B">
      <w:pPr>
        <w:pStyle w:val="Listennummer"/>
        <w:numPr>
          <w:ilvl w:val="0"/>
          <w:numId w:val="41"/>
        </w:numPr>
      </w:pPr>
      <w:r>
        <w:t>MII Engagement on Sensitive Data and Query Handling (FDPG): A work package for harmonizing data protection issues with the Medical Informatics Initiative</w:t>
      </w:r>
    </w:p>
    <w:p w14:paraId="6899E799" w14:textId="77777777" w:rsidR="00B5639A" w:rsidRDefault="00E53E45" w:rsidP="00514F5B">
      <w:pPr>
        <w:pStyle w:val="Listennummer"/>
        <w:numPr>
          <w:ilvl w:val="0"/>
          <w:numId w:val="41"/>
        </w:numPr>
      </w:pPr>
      <w:r>
        <w:t>Ontology Documentation: Each consortium prepares a list of ontologies it uses</w:t>
      </w:r>
    </w:p>
    <w:p w14:paraId="7356C1B4" w14:textId="77777777" w:rsidR="00B5639A" w:rsidRDefault="00E53E45" w:rsidP="00514F5B">
      <w:pPr>
        <w:pStyle w:val="Listennummer"/>
        <w:numPr>
          <w:ilvl w:val="0"/>
          <w:numId w:val="41"/>
        </w:numPr>
      </w:pPr>
      <w:r>
        <w:t>Governance Documentation: Definition of roles, responsibilities, and escalation mechanisms</w:t>
      </w:r>
    </w:p>
    <w:p w14:paraId="62521086" w14:textId="77777777" w:rsidR="00B5639A" w:rsidRDefault="00E53E45">
      <w:pPr>
        <w:pStyle w:val="berschrift2"/>
      </w:pPr>
      <w:bookmarkStart w:id="26" w:name="_Toc216792286"/>
      <w:r>
        <w:t>7. Conclusion: The Necessity of Metadata Harmonization</w:t>
      </w:r>
      <w:bookmarkEnd w:id="26"/>
    </w:p>
    <w:p w14:paraId="0150C185" w14:textId="77777777" w:rsidR="00B5639A" w:rsidRDefault="00E53E45">
      <w:pPr>
        <w:pStyle w:val="berschrift3"/>
      </w:pPr>
      <w:bookmarkStart w:id="27" w:name="_Toc216792287"/>
      <w:r>
        <w:t>7.1 Critical Importance for the Future</w:t>
      </w:r>
      <w:bookmarkEnd w:id="27"/>
    </w:p>
    <w:p w14:paraId="121CC0D1" w14:textId="77777777" w:rsidR="00B5639A" w:rsidRDefault="00E53E45">
      <w:r>
        <w:t xml:space="preserve">Harmonization of metadata across all BioMed consortia is no longer optional but a </w:t>
      </w:r>
      <w:r>
        <w:rPr>
          <w:b/>
        </w:rPr>
        <w:t>strategic necessity</w:t>
      </w:r>
      <w:r>
        <w:t>. This for several reasons:</w:t>
      </w:r>
    </w:p>
    <w:p w14:paraId="741DDFED" w14:textId="77777777" w:rsidR="00B5639A" w:rsidRDefault="00E53E45">
      <w:pPr>
        <w:pStyle w:val="berschrift4"/>
      </w:pPr>
      <w:r>
        <w:t>Scientific Imperatives:</w:t>
      </w:r>
    </w:p>
    <w:p w14:paraId="39246FD0" w14:textId="77777777" w:rsidR="00B5639A" w:rsidRDefault="00E53E45">
      <w:r>
        <w:t xml:space="preserve">Modern biomedical research increasingly requires </w:t>
      </w:r>
      <w:r>
        <w:rPr>
          <w:b/>
        </w:rPr>
        <w:t>interdisciplinary collaboration</w:t>
      </w:r>
      <w:r>
        <w:t xml:space="preserve"> across traditional disciplinary boundaries. An oncologist studying tumor genomics must collaborate with clinical immunologists who in turn rely on imaging data. Without interoperable metadata, these synergies cannot be realized.</w:t>
      </w:r>
    </w:p>
    <w:p w14:paraId="45E23F3A" w14:textId="77777777" w:rsidR="00B5639A" w:rsidRDefault="00E53E45">
      <w:pPr>
        <w:pStyle w:val="berschrift4"/>
      </w:pPr>
      <w:r>
        <w:lastRenderedPageBreak/>
        <w:t>Technological Pressure:</w:t>
      </w:r>
    </w:p>
    <w:p w14:paraId="13A0648C" w14:textId="77777777" w:rsidR="00B5639A" w:rsidRDefault="00E53E45">
      <w:r>
        <w:t xml:space="preserve">The rapid development of artificial intelligence and machine learning imposes </w:t>
      </w:r>
      <w:r>
        <w:rPr>
          <w:b/>
        </w:rPr>
        <w:t>increasing demands on data quality and consistency</w:t>
      </w:r>
      <w:r>
        <w:t>. Unstructured, heterogeneous metadata leads to inferior models and bias in AI systems. Conversely, well-harmonized metadata enables robust, generalizable algorithms that are genuinely usable as decision support tools in clinical practice.</w:t>
      </w:r>
    </w:p>
    <w:p w14:paraId="0B3E057C" w14:textId="77777777" w:rsidR="00B5639A" w:rsidRDefault="00E53E45">
      <w:pPr>
        <w:pStyle w:val="berschrift4"/>
      </w:pPr>
      <w:r>
        <w:t>Economic Efficiency:</w:t>
      </w:r>
    </w:p>
    <w:p w14:paraId="6565297B" w14:textId="77777777" w:rsidR="00B5639A" w:rsidRDefault="00E53E45">
      <w:r>
        <w:t xml:space="preserve">Every redundant data capture, every manual mapping between systems, every query requiring manual clarification binds resources. </w:t>
      </w:r>
      <w:r>
        <w:rPr>
          <w:b/>
        </w:rPr>
        <w:t>Standardization produces substantial long-term cost savings</w:t>
      </w:r>
      <w:r>
        <w:t xml:space="preserve"> in data management, IT development, and research infrastructure.</w:t>
      </w:r>
    </w:p>
    <w:p w14:paraId="74F53FCD" w14:textId="77777777" w:rsidR="00B5639A" w:rsidRDefault="00E53E45">
      <w:pPr>
        <w:pStyle w:val="berschrift4"/>
      </w:pPr>
      <w:r>
        <w:t>International Competitiveness:</w:t>
      </w:r>
    </w:p>
    <w:p w14:paraId="7F9D9FCB" w14:textId="77777777" w:rsidR="00B5639A" w:rsidRDefault="00E53E45">
      <w:r>
        <w:t xml:space="preserve">Germany and Europe compete globally with other research regions. Countries and organizations that first build a </w:t>
      </w:r>
      <w:r>
        <w:rPr>
          <w:b/>
        </w:rPr>
        <w:t>fully interoperable research data infrastructure</w:t>
      </w:r>
      <w:r>
        <w:t xml:space="preserve"> will attract talent and investment and accelerate scientific breakthroughs.</w:t>
      </w:r>
    </w:p>
    <w:p w14:paraId="5D08268E" w14:textId="77777777" w:rsidR="00B5639A" w:rsidRDefault="00E53E45">
      <w:pPr>
        <w:pStyle w:val="berschrift3"/>
      </w:pPr>
      <w:bookmarkStart w:id="28" w:name="_Toc216792288"/>
      <w:r>
        <w:t>7.2 Necessity of Institutional Embedding</w:t>
      </w:r>
      <w:bookmarkEnd w:id="28"/>
    </w:p>
    <w:p w14:paraId="1CBC0083" w14:textId="77777777" w:rsidR="00B5639A" w:rsidRDefault="00E53E45">
      <w:r>
        <w:t xml:space="preserve">The workshop made clear that </w:t>
      </w:r>
      <w:r>
        <w:rPr>
          <w:b/>
        </w:rPr>
        <w:t>ad hoc, voluntary efforts are insufficient</w:t>
      </w:r>
      <w:r>
        <w:t>. The following structural measures are required:</w:t>
      </w:r>
    </w:p>
    <w:p w14:paraId="736C5CC8" w14:textId="77777777" w:rsidR="00B5639A" w:rsidRDefault="00E53E45">
      <w:pPr>
        <w:pStyle w:val="Aufzhlungszeichen"/>
      </w:pPr>
      <w:r>
        <w:t>Full-Time Resources: The BioMed Metadata Interoperability Group needs dedicated full-time staff – not merely coordination through part-time involvement. This enables continuous progress and accountability.</w:t>
      </w:r>
    </w:p>
    <w:p w14:paraId="1F305188" w14:textId="77777777" w:rsidR="00B5639A" w:rsidRDefault="00E53E45">
      <w:pPr>
        <w:pStyle w:val="Aufzhlungszeichen"/>
      </w:pPr>
      <w:r>
        <w:t xml:space="preserve">Institutional Governance: Harmonization efforts should be formally anchored in the decision structures of individual consortia and the </w:t>
      </w:r>
      <w:r>
        <w:t>BioMed network to create binding commitment.</w:t>
      </w:r>
    </w:p>
    <w:p w14:paraId="1BB47F0A" w14:textId="77777777" w:rsidR="00B5639A" w:rsidRDefault="00E53E45">
      <w:pPr>
        <w:pStyle w:val="Aufzhlungszeichen"/>
      </w:pPr>
      <w:r>
        <w:t>Continuous Monitoring: Standards and ontologies are not static. Regular monitoring of international standards developments is necessary to ensure BioMed remains aligned and current with national and international developments rather than becoming isolated.</w:t>
      </w:r>
    </w:p>
    <w:p w14:paraId="767A51AF" w14:textId="77777777" w:rsidR="00B5639A" w:rsidRDefault="00E53E45">
      <w:pPr>
        <w:pStyle w:val="berschrift3"/>
      </w:pPr>
      <w:bookmarkStart w:id="29" w:name="_Toc216792289"/>
      <w:r>
        <w:t>7.3 Outlook</w:t>
      </w:r>
      <w:bookmarkEnd w:id="29"/>
    </w:p>
    <w:p w14:paraId="4D9CA979" w14:textId="77777777" w:rsidR="00B5639A" w:rsidRDefault="00E53E45">
      <w:r>
        <w:t xml:space="preserve">The vision of a consortium-wide, internationally harmonized metadata infrastructure is ambitious but </w:t>
      </w:r>
      <w:r>
        <w:rPr>
          <w:b/>
        </w:rPr>
        <w:t>achievable</w:t>
      </w:r>
      <w:r>
        <w:t>. The foundations are in place:</w:t>
      </w:r>
    </w:p>
    <w:p w14:paraId="0E1E6D63" w14:textId="77777777" w:rsidR="00B5639A" w:rsidRDefault="00E53E45" w:rsidP="00514F5B">
      <w:pPr>
        <w:pStyle w:val="Listennummer"/>
        <w:numPr>
          <w:ilvl w:val="0"/>
          <w:numId w:val="42"/>
        </w:numPr>
      </w:pPr>
      <w:r>
        <w:t>Individual consortia already have experience with standards harmonization (e.g., NFDI4Health with FHIR, GHGA with genomic standards)</w:t>
      </w:r>
    </w:p>
    <w:p w14:paraId="40572E0E" w14:textId="77777777" w:rsidR="00B5639A" w:rsidRDefault="00E53E45" w:rsidP="00514F5B">
      <w:pPr>
        <w:pStyle w:val="Listennummer"/>
        <w:numPr>
          <w:ilvl w:val="0"/>
          <w:numId w:val="42"/>
        </w:numPr>
      </w:pPr>
      <w:r>
        <w:t>There are clear international reference points and best practices from other countries and organizations</w:t>
      </w:r>
    </w:p>
    <w:p w14:paraId="6B8EA6AD" w14:textId="77777777" w:rsidR="00B5639A" w:rsidRDefault="00E53E45" w:rsidP="00514F5B">
      <w:pPr>
        <w:pStyle w:val="Listennummer"/>
        <w:numPr>
          <w:ilvl w:val="0"/>
          <w:numId w:val="42"/>
        </w:numPr>
      </w:pPr>
      <w:r>
        <w:t>The political and scientific will for collaboration exists, as the workshop demonstrated</w:t>
      </w:r>
    </w:p>
    <w:p w14:paraId="5A9D21A6" w14:textId="1F5FD00C" w:rsidR="00B5639A" w:rsidRDefault="00E53E45">
      <w:r>
        <w:t xml:space="preserve">What is now required is </w:t>
      </w:r>
      <w:r>
        <w:rPr>
          <w:b/>
        </w:rPr>
        <w:t>sustained effort</w:t>
      </w:r>
      <w:r>
        <w:t xml:space="preserve">, clear priorities, and adequate resources. With these conditions, BioMed can become a </w:t>
      </w:r>
      <w:r>
        <w:rPr>
          <w:b/>
        </w:rPr>
        <w:t xml:space="preserve">model for federated, interoperable research </w:t>
      </w:r>
      <w:r>
        <w:rPr>
          <w:b/>
        </w:rPr>
        <w:lastRenderedPageBreak/>
        <w:t>data infrastructure</w:t>
      </w:r>
      <w:r>
        <w:t xml:space="preserve"> in Europe within the next couple of</w:t>
      </w:r>
      <w:r>
        <w:t xml:space="preserve"> years – with direct benefits for research, development, and ultimately for patients and society.</w:t>
      </w:r>
    </w:p>
    <w:p w14:paraId="5920BF3C" w14:textId="77777777" w:rsidR="00B5639A" w:rsidRDefault="00E53E45">
      <w:r>
        <w:t>The workshop was an important first step. The next steps – from consensus to implementation – represent the true test of commitment to this endeavor.</w:t>
      </w:r>
    </w:p>
    <w:sectPr w:rsidR="00B563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E202DA"/>
    <w:multiLevelType w:val="hybridMultilevel"/>
    <w:tmpl w:val="22DA7B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7D0197"/>
    <w:multiLevelType w:val="hybridMultilevel"/>
    <w:tmpl w:val="446EB5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E77934"/>
    <w:multiLevelType w:val="hybridMultilevel"/>
    <w:tmpl w:val="24DA3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90336E"/>
    <w:multiLevelType w:val="hybridMultilevel"/>
    <w:tmpl w:val="978A0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96786A"/>
    <w:multiLevelType w:val="hybridMultilevel"/>
    <w:tmpl w:val="A21A69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0B1D2D"/>
    <w:multiLevelType w:val="hybridMultilevel"/>
    <w:tmpl w:val="105030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4D55BC"/>
    <w:multiLevelType w:val="hybridMultilevel"/>
    <w:tmpl w:val="8B56D7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2C04C4"/>
    <w:multiLevelType w:val="hybridMultilevel"/>
    <w:tmpl w:val="1D768D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76408"/>
    <w:multiLevelType w:val="hybridMultilevel"/>
    <w:tmpl w:val="B824D0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C24AFC"/>
    <w:multiLevelType w:val="hybridMultilevel"/>
    <w:tmpl w:val="AEEC37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E31098"/>
    <w:multiLevelType w:val="hybridMultilevel"/>
    <w:tmpl w:val="B0D8C6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AE151D"/>
    <w:multiLevelType w:val="hybridMultilevel"/>
    <w:tmpl w:val="49E68F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8E6269"/>
    <w:multiLevelType w:val="hybridMultilevel"/>
    <w:tmpl w:val="64209F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FB0190"/>
    <w:multiLevelType w:val="hybridMultilevel"/>
    <w:tmpl w:val="1D0EF7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335373"/>
    <w:multiLevelType w:val="hybridMultilevel"/>
    <w:tmpl w:val="55B67D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020AE1"/>
    <w:multiLevelType w:val="hybridMultilevel"/>
    <w:tmpl w:val="1AF221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6732A4"/>
    <w:multiLevelType w:val="hybridMultilevel"/>
    <w:tmpl w:val="F5F453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666618"/>
    <w:multiLevelType w:val="hybridMultilevel"/>
    <w:tmpl w:val="E7DC88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A0CF9"/>
    <w:multiLevelType w:val="hybridMultilevel"/>
    <w:tmpl w:val="C7A203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DD0978"/>
    <w:multiLevelType w:val="hybridMultilevel"/>
    <w:tmpl w:val="FC8068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0D5B19"/>
    <w:multiLevelType w:val="hybridMultilevel"/>
    <w:tmpl w:val="4FC47D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C65E3C"/>
    <w:multiLevelType w:val="hybridMultilevel"/>
    <w:tmpl w:val="F5929E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025BA4"/>
    <w:multiLevelType w:val="hybridMultilevel"/>
    <w:tmpl w:val="C8A60B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D431D5"/>
    <w:multiLevelType w:val="hybridMultilevel"/>
    <w:tmpl w:val="D54434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99405D"/>
    <w:multiLevelType w:val="hybridMultilevel"/>
    <w:tmpl w:val="EB4A0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8F24BE"/>
    <w:multiLevelType w:val="hybridMultilevel"/>
    <w:tmpl w:val="867838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D1795"/>
    <w:multiLevelType w:val="hybridMultilevel"/>
    <w:tmpl w:val="AFEEB5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3D2E7F"/>
    <w:multiLevelType w:val="hybridMultilevel"/>
    <w:tmpl w:val="FE64E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97CFE"/>
    <w:multiLevelType w:val="hybridMultilevel"/>
    <w:tmpl w:val="C63A1A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EB381E"/>
    <w:multiLevelType w:val="hybridMultilevel"/>
    <w:tmpl w:val="4BFC8E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36911"/>
    <w:multiLevelType w:val="hybridMultilevel"/>
    <w:tmpl w:val="EA2C28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C17DA6"/>
    <w:multiLevelType w:val="hybridMultilevel"/>
    <w:tmpl w:val="1EB6A3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340217"/>
    <w:multiLevelType w:val="hybridMultilevel"/>
    <w:tmpl w:val="944212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0054186">
    <w:abstractNumId w:val="8"/>
  </w:num>
  <w:num w:numId="2" w16cid:durableId="1095630848">
    <w:abstractNumId w:val="6"/>
  </w:num>
  <w:num w:numId="3" w16cid:durableId="1236629372">
    <w:abstractNumId w:val="5"/>
  </w:num>
  <w:num w:numId="4" w16cid:durableId="385026964">
    <w:abstractNumId w:val="4"/>
  </w:num>
  <w:num w:numId="5" w16cid:durableId="1838111246">
    <w:abstractNumId w:val="7"/>
  </w:num>
  <w:num w:numId="6" w16cid:durableId="521089780">
    <w:abstractNumId w:val="3"/>
  </w:num>
  <w:num w:numId="7" w16cid:durableId="1498031429">
    <w:abstractNumId w:val="2"/>
  </w:num>
  <w:num w:numId="8" w16cid:durableId="279462662">
    <w:abstractNumId w:val="1"/>
  </w:num>
  <w:num w:numId="9" w16cid:durableId="44372615">
    <w:abstractNumId w:val="0"/>
  </w:num>
  <w:num w:numId="10" w16cid:durableId="348796400">
    <w:abstractNumId w:val="34"/>
  </w:num>
  <w:num w:numId="11" w16cid:durableId="1133983509">
    <w:abstractNumId w:val="38"/>
  </w:num>
  <w:num w:numId="12" w16cid:durableId="1830094025">
    <w:abstractNumId w:val="26"/>
  </w:num>
  <w:num w:numId="13" w16cid:durableId="130756960">
    <w:abstractNumId w:val="31"/>
  </w:num>
  <w:num w:numId="14" w16cid:durableId="501699946">
    <w:abstractNumId w:val="15"/>
  </w:num>
  <w:num w:numId="15" w16cid:durableId="1457067276">
    <w:abstractNumId w:val="22"/>
  </w:num>
  <w:num w:numId="16" w16cid:durableId="1745948693">
    <w:abstractNumId w:val="17"/>
  </w:num>
  <w:num w:numId="17" w16cid:durableId="1704089135">
    <w:abstractNumId w:val="12"/>
  </w:num>
  <w:num w:numId="18" w16cid:durableId="1400057590">
    <w:abstractNumId w:val="27"/>
  </w:num>
  <w:num w:numId="19" w16cid:durableId="1371807989">
    <w:abstractNumId w:val="41"/>
  </w:num>
  <w:num w:numId="20" w16cid:durableId="923417169">
    <w:abstractNumId w:val="39"/>
  </w:num>
  <w:num w:numId="21" w16cid:durableId="479536090">
    <w:abstractNumId w:val="16"/>
  </w:num>
  <w:num w:numId="22" w16cid:durableId="496918645">
    <w:abstractNumId w:val="20"/>
  </w:num>
  <w:num w:numId="23" w16cid:durableId="2007971788">
    <w:abstractNumId w:val="24"/>
  </w:num>
  <w:num w:numId="24" w16cid:durableId="1650816882">
    <w:abstractNumId w:val="18"/>
  </w:num>
  <w:num w:numId="25" w16cid:durableId="313148566">
    <w:abstractNumId w:val="40"/>
  </w:num>
  <w:num w:numId="26" w16cid:durableId="387340276">
    <w:abstractNumId w:val="32"/>
  </w:num>
  <w:num w:numId="27" w16cid:durableId="284895446">
    <w:abstractNumId w:val="28"/>
  </w:num>
  <w:num w:numId="28" w16cid:durableId="726949578">
    <w:abstractNumId w:val="21"/>
  </w:num>
  <w:num w:numId="29" w16cid:durableId="1481576410">
    <w:abstractNumId w:val="25"/>
  </w:num>
  <w:num w:numId="30" w16cid:durableId="416294046">
    <w:abstractNumId w:val="37"/>
  </w:num>
  <w:num w:numId="31" w16cid:durableId="527640429">
    <w:abstractNumId w:val="23"/>
  </w:num>
  <w:num w:numId="32" w16cid:durableId="561210621">
    <w:abstractNumId w:val="14"/>
  </w:num>
  <w:num w:numId="33" w16cid:durableId="1701397168">
    <w:abstractNumId w:val="9"/>
  </w:num>
  <w:num w:numId="34" w16cid:durableId="1579828839">
    <w:abstractNumId w:val="11"/>
  </w:num>
  <w:num w:numId="35" w16cid:durableId="340933176">
    <w:abstractNumId w:val="19"/>
  </w:num>
  <w:num w:numId="36" w16cid:durableId="818810043">
    <w:abstractNumId w:val="13"/>
  </w:num>
  <w:num w:numId="37" w16cid:durableId="1663002172">
    <w:abstractNumId w:val="30"/>
  </w:num>
  <w:num w:numId="38" w16cid:durableId="738019648">
    <w:abstractNumId w:val="29"/>
  </w:num>
  <w:num w:numId="39" w16cid:durableId="1846245750">
    <w:abstractNumId w:val="33"/>
  </w:num>
  <w:num w:numId="40" w16cid:durableId="1380208984">
    <w:abstractNumId w:val="36"/>
  </w:num>
  <w:num w:numId="41" w16cid:durableId="1872188250">
    <w:abstractNumId w:val="35"/>
  </w:num>
  <w:num w:numId="42" w16cid:durableId="1279943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BC4"/>
    <w:rsid w:val="00034616"/>
    <w:rsid w:val="0006063C"/>
    <w:rsid w:val="0015074B"/>
    <w:rsid w:val="0029639D"/>
    <w:rsid w:val="00326F90"/>
    <w:rsid w:val="00514F5B"/>
    <w:rsid w:val="00AA1D8D"/>
    <w:rsid w:val="00B47730"/>
    <w:rsid w:val="00B5639A"/>
    <w:rsid w:val="00CB0664"/>
    <w:rsid w:val="00DB3C88"/>
    <w:rsid w:val="00E53E45"/>
    <w:rsid w:val="00FC693F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68D39"/>
  <w14:defaultImageDpi w14:val="300"/>
  <w15:docId w15:val="{8CD76ACD-66F3-489B-B0E1-945EA67A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FE768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E7685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FE7685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FE7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2757</Words>
  <Characters>17375</Characters>
  <Application>Microsoft Office Word</Application>
  <DocSecurity>0</DocSecurity>
  <Lines>144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Böhm, Sebastian</cp:lastModifiedBy>
  <cp:revision>4</cp:revision>
  <dcterms:created xsi:type="dcterms:W3CDTF">2013-12-23T23:15:00Z</dcterms:created>
  <dcterms:modified xsi:type="dcterms:W3CDTF">2025-12-16T14:53:00Z</dcterms:modified>
  <cp:category/>
</cp:coreProperties>
</file>