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D0BE5" w14:textId="77777777" w:rsidR="007E015A" w:rsidRDefault="007E015A" w:rsidP="004F025D">
      <w:pPr>
        <w:spacing w:before="240" w:line="288" w:lineRule="auto"/>
        <w:jc w:val="center"/>
        <w:rPr>
          <w:rFonts w:eastAsia="Georgia" w:hAnsi="Georgia" w:cs="Georgia"/>
          <w:b/>
          <w:sz w:val="56"/>
        </w:rPr>
      </w:pPr>
      <w:bookmarkStart w:id="0" w:name="bericht_metadaten_interoperabilit_377ff3"/>
    </w:p>
    <w:p w14:paraId="77F7DBC9" w14:textId="77777777" w:rsidR="007E015A" w:rsidRDefault="007E015A" w:rsidP="004F025D">
      <w:pPr>
        <w:spacing w:before="240" w:line="288" w:lineRule="auto"/>
        <w:jc w:val="center"/>
        <w:rPr>
          <w:rFonts w:eastAsia="Georgia" w:hAnsi="Georgia" w:cs="Georgia"/>
          <w:b/>
          <w:sz w:val="56"/>
        </w:rPr>
      </w:pPr>
    </w:p>
    <w:p w14:paraId="631A5CA4" w14:textId="06EE1DBF" w:rsidR="0053547C" w:rsidRDefault="007E015A" w:rsidP="004F025D">
      <w:pPr>
        <w:spacing w:before="240" w:line="288" w:lineRule="auto"/>
        <w:jc w:val="center"/>
      </w:pPr>
      <w:r>
        <w:rPr>
          <w:rFonts w:eastAsia="Georgia" w:hAnsi="Georgia" w:cs="Georgia"/>
          <w:b/>
          <w:sz w:val="56"/>
        </w:rPr>
        <w:t>Metadaten-Interoperabilität im BioMed-Konsortium</w:t>
      </w:r>
      <w:bookmarkEnd w:id="0"/>
    </w:p>
    <w:p w14:paraId="51863D87" w14:textId="25F35244" w:rsidR="00335C99" w:rsidRDefault="00335C99">
      <w:pPr>
        <w:rPr>
          <w:b/>
          <w:sz w:val="42"/>
        </w:rPr>
      </w:pPr>
      <w:bookmarkStart w:id="1" w:name="einleitung"/>
    </w:p>
    <w:p w14:paraId="4F823F97" w14:textId="77777777" w:rsidR="007E015A" w:rsidRDefault="00335C99">
      <w:pPr>
        <w:rPr>
          <w:b/>
          <w:sz w:val="42"/>
        </w:rPr>
      </w:pPr>
      <w:r>
        <w:rPr>
          <w:b/>
          <w:sz w:val="42"/>
        </w:rPr>
        <w:br w:type="page"/>
      </w:r>
    </w:p>
    <w:sdt>
      <w:sdtPr>
        <w:rPr>
          <w:rFonts w:ascii="Georgia" w:eastAsiaTheme="minorHAnsi" w:hAnsiTheme="minorHAnsi" w:cstheme="minorBidi"/>
          <w:color w:val="auto"/>
          <w:sz w:val="21"/>
          <w:szCs w:val="22"/>
          <w:lang w:eastAsia="en-US"/>
        </w:rPr>
        <w:id w:val="-143466535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2CE66AF" w14:textId="2BED9A21" w:rsidR="007E015A" w:rsidRDefault="007E015A">
          <w:pPr>
            <w:pStyle w:val="Inhaltsverzeichnisberschrift"/>
          </w:pPr>
          <w:r>
            <w:t>Inhalt</w:t>
          </w:r>
        </w:p>
        <w:p w14:paraId="40E791B1" w14:textId="64383D0C" w:rsidR="007E015A" w:rsidRDefault="007E015A">
          <w:pPr>
            <w:pStyle w:val="Verzeichnis1"/>
            <w:tabs>
              <w:tab w:val="right" w:leader="dot" w:pos="8680"/>
            </w:tabs>
            <w:rPr>
              <w:rFonts w:asciiTheme="minorHAnsi"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6791217" w:history="1">
            <w:r w:rsidRPr="00EC29AD">
              <w:rPr>
                <w:rStyle w:val="Hyperlink"/>
                <w:noProof/>
              </w:rPr>
              <w:t>Einleitung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_Toc216791217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CD1636" w14:textId="119EA9E0" w:rsidR="007E015A" w:rsidRDefault="00223D23">
          <w:pPr>
            <w:pStyle w:val="Verzeichnis1"/>
            <w:tabs>
              <w:tab w:val="right" w:leader="dot" w:pos="8680"/>
            </w:tabs>
            <w:rPr>
              <w:rFonts w:asciiTheme="minorHAnsi"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6791218" w:history="1">
            <w:r w:rsidR="007E015A" w:rsidRPr="00EC29AD">
              <w:rPr>
                <w:rStyle w:val="Hyperlink"/>
                <w:noProof/>
              </w:rPr>
              <w:t>1. Aktuelle Zusammenarbeit und bestehende Infrastrukturen</w:t>
            </w:r>
            <w:r w:rsidR="007E015A">
              <w:rPr>
                <w:noProof/>
                <w:webHidden/>
              </w:rPr>
              <w:tab/>
            </w:r>
            <w:r w:rsidR="007E015A">
              <w:rPr>
                <w:noProof/>
                <w:webHidden/>
              </w:rPr>
              <w:fldChar w:fldCharType="begin"/>
            </w:r>
            <w:r w:rsidR="007E015A">
              <w:rPr>
                <w:noProof/>
                <w:webHidden/>
              </w:rPr>
              <w:instrText xml:space="preserve"> PAGEREF _Toc216791218 \h </w:instrText>
            </w:r>
            <w:r w:rsidR="007E015A">
              <w:rPr>
                <w:noProof/>
                <w:webHidden/>
              </w:rPr>
            </w:r>
            <w:r w:rsidR="007E015A">
              <w:rPr>
                <w:noProof/>
                <w:webHidden/>
              </w:rPr>
              <w:fldChar w:fldCharType="separate"/>
            </w:r>
            <w:r w:rsidR="007E015A">
              <w:rPr>
                <w:noProof/>
                <w:webHidden/>
              </w:rPr>
              <w:t>3</w:t>
            </w:r>
            <w:r w:rsidR="007E015A">
              <w:rPr>
                <w:noProof/>
                <w:webHidden/>
              </w:rPr>
              <w:fldChar w:fldCharType="end"/>
            </w:r>
          </w:hyperlink>
        </w:p>
        <w:p w14:paraId="6CD9C019" w14:textId="5209A0C5" w:rsidR="007E015A" w:rsidRDefault="00223D23">
          <w:pPr>
            <w:pStyle w:val="Verzeichnis2"/>
            <w:tabs>
              <w:tab w:val="right" w:leader="dot" w:pos="8680"/>
            </w:tabs>
            <w:rPr>
              <w:rFonts w:asciiTheme="minorHAnsi"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6791219" w:history="1">
            <w:r w:rsidR="007E015A" w:rsidRPr="00EC29AD">
              <w:rPr>
                <w:rStyle w:val="Hyperlink"/>
                <w:noProof/>
              </w:rPr>
              <w:t>1.1 Bereits etablierte Kooperationen im BioMed-Konsortium</w:t>
            </w:r>
            <w:r w:rsidR="007E015A">
              <w:rPr>
                <w:noProof/>
                <w:webHidden/>
              </w:rPr>
              <w:tab/>
            </w:r>
            <w:r w:rsidR="007E015A">
              <w:rPr>
                <w:noProof/>
                <w:webHidden/>
              </w:rPr>
              <w:fldChar w:fldCharType="begin"/>
            </w:r>
            <w:r w:rsidR="007E015A">
              <w:rPr>
                <w:noProof/>
                <w:webHidden/>
              </w:rPr>
              <w:instrText xml:space="preserve"> PAGEREF _Toc216791219 \h </w:instrText>
            </w:r>
            <w:r w:rsidR="007E015A">
              <w:rPr>
                <w:noProof/>
                <w:webHidden/>
              </w:rPr>
            </w:r>
            <w:r w:rsidR="007E015A">
              <w:rPr>
                <w:noProof/>
                <w:webHidden/>
              </w:rPr>
              <w:fldChar w:fldCharType="separate"/>
            </w:r>
            <w:r w:rsidR="007E015A">
              <w:rPr>
                <w:noProof/>
                <w:webHidden/>
              </w:rPr>
              <w:t>3</w:t>
            </w:r>
            <w:r w:rsidR="007E015A">
              <w:rPr>
                <w:noProof/>
                <w:webHidden/>
              </w:rPr>
              <w:fldChar w:fldCharType="end"/>
            </w:r>
          </w:hyperlink>
        </w:p>
        <w:p w14:paraId="78AB7EE8" w14:textId="00D22EF9" w:rsidR="007E015A" w:rsidRDefault="00223D23">
          <w:pPr>
            <w:pStyle w:val="Verzeichnis2"/>
            <w:tabs>
              <w:tab w:val="right" w:leader="dot" w:pos="8680"/>
            </w:tabs>
            <w:rPr>
              <w:rFonts w:asciiTheme="minorHAnsi"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6791220" w:history="1">
            <w:r w:rsidR="007E015A" w:rsidRPr="00EC29AD">
              <w:rPr>
                <w:rStyle w:val="Hyperlink"/>
                <w:noProof/>
              </w:rPr>
              <w:t>1.2 Internationale Kooperationen und Standards-Alignment</w:t>
            </w:r>
            <w:r w:rsidR="007E015A">
              <w:rPr>
                <w:noProof/>
                <w:webHidden/>
              </w:rPr>
              <w:tab/>
            </w:r>
            <w:r w:rsidR="007E015A">
              <w:rPr>
                <w:noProof/>
                <w:webHidden/>
              </w:rPr>
              <w:fldChar w:fldCharType="begin"/>
            </w:r>
            <w:r w:rsidR="007E015A">
              <w:rPr>
                <w:noProof/>
                <w:webHidden/>
              </w:rPr>
              <w:instrText xml:space="preserve"> PAGEREF _Toc216791220 \h </w:instrText>
            </w:r>
            <w:r w:rsidR="007E015A">
              <w:rPr>
                <w:noProof/>
                <w:webHidden/>
              </w:rPr>
            </w:r>
            <w:r w:rsidR="007E015A">
              <w:rPr>
                <w:noProof/>
                <w:webHidden/>
              </w:rPr>
              <w:fldChar w:fldCharType="separate"/>
            </w:r>
            <w:r w:rsidR="007E015A">
              <w:rPr>
                <w:noProof/>
                <w:webHidden/>
              </w:rPr>
              <w:t>4</w:t>
            </w:r>
            <w:r w:rsidR="007E015A">
              <w:rPr>
                <w:noProof/>
                <w:webHidden/>
              </w:rPr>
              <w:fldChar w:fldCharType="end"/>
            </w:r>
          </w:hyperlink>
        </w:p>
        <w:p w14:paraId="663085FC" w14:textId="4F3F022C" w:rsidR="007E015A" w:rsidRDefault="00223D23">
          <w:pPr>
            <w:pStyle w:val="Verzeichnis1"/>
            <w:tabs>
              <w:tab w:val="right" w:leader="dot" w:pos="8680"/>
            </w:tabs>
            <w:rPr>
              <w:rFonts w:asciiTheme="minorHAnsi"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6791221" w:history="1">
            <w:r w:rsidR="007E015A" w:rsidRPr="00EC29AD">
              <w:rPr>
                <w:rStyle w:val="Hyperlink"/>
                <w:noProof/>
              </w:rPr>
              <w:t>2. Aktueller Status: Metadaten-Handling in den einzelnen Konsortien</w:t>
            </w:r>
            <w:r w:rsidR="007E015A">
              <w:rPr>
                <w:noProof/>
                <w:webHidden/>
              </w:rPr>
              <w:tab/>
            </w:r>
            <w:r w:rsidR="007E015A">
              <w:rPr>
                <w:noProof/>
                <w:webHidden/>
              </w:rPr>
              <w:fldChar w:fldCharType="begin"/>
            </w:r>
            <w:r w:rsidR="007E015A">
              <w:rPr>
                <w:noProof/>
                <w:webHidden/>
              </w:rPr>
              <w:instrText xml:space="preserve"> PAGEREF _Toc216791221 \h </w:instrText>
            </w:r>
            <w:r w:rsidR="007E015A">
              <w:rPr>
                <w:noProof/>
                <w:webHidden/>
              </w:rPr>
            </w:r>
            <w:r w:rsidR="007E015A">
              <w:rPr>
                <w:noProof/>
                <w:webHidden/>
              </w:rPr>
              <w:fldChar w:fldCharType="separate"/>
            </w:r>
            <w:r w:rsidR="007E015A">
              <w:rPr>
                <w:noProof/>
                <w:webHidden/>
              </w:rPr>
              <w:t>4</w:t>
            </w:r>
            <w:r w:rsidR="007E015A">
              <w:rPr>
                <w:noProof/>
                <w:webHidden/>
              </w:rPr>
              <w:fldChar w:fldCharType="end"/>
            </w:r>
          </w:hyperlink>
        </w:p>
        <w:p w14:paraId="6E91108D" w14:textId="1D1507C3" w:rsidR="007E015A" w:rsidRDefault="00223D23">
          <w:pPr>
            <w:pStyle w:val="Verzeichnis2"/>
            <w:tabs>
              <w:tab w:val="right" w:leader="dot" w:pos="8680"/>
            </w:tabs>
            <w:rPr>
              <w:rFonts w:asciiTheme="minorHAnsi"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6791222" w:history="1">
            <w:r w:rsidR="007E015A" w:rsidRPr="00EC29AD">
              <w:rPr>
                <w:rStyle w:val="Hyperlink"/>
                <w:rFonts w:eastAsia="Georgia"/>
                <w:noProof/>
              </w:rPr>
              <w:t xml:space="preserve">2.1 </w:t>
            </w:r>
            <w:r w:rsidR="007E015A" w:rsidRPr="00EC29AD">
              <w:rPr>
                <w:rStyle w:val="Hyperlink"/>
                <w:rFonts w:eastAsia="Georgia"/>
                <w:noProof/>
              </w:rPr>
              <w:t>Ü</w:t>
            </w:r>
            <w:r w:rsidR="007E015A" w:rsidRPr="00EC29AD">
              <w:rPr>
                <w:rStyle w:val="Hyperlink"/>
                <w:rFonts w:eastAsia="Georgia"/>
                <w:noProof/>
              </w:rPr>
              <w:t>berblick der Metadaten-Erfassung und Standards</w:t>
            </w:r>
            <w:r w:rsidR="007E015A">
              <w:rPr>
                <w:noProof/>
                <w:webHidden/>
              </w:rPr>
              <w:tab/>
            </w:r>
            <w:r w:rsidR="007E015A">
              <w:rPr>
                <w:noProof/>
                <w:webHidden/>
              </w:rPr>
              <w:fldChar w:fldCharType="begin"/>
            </w:r>
            <w:r w:rsidR="007E015A">
              <w:rPr>
                <w:noProof/>
                <w:webHidden/>
              </w:rPr>
              <w:instrText xml:space="preserve"> PAGEREF _Toc216791222 \h </w:instrText>
            </w:r>
            <w:r w:rsidR="007E015A">
              <w:rPr>
                <w:noProof/>
                <w:webHidden/>
              </w:rPr>
            </w:r>
            <w:r w:rsidR="007E015A">
              <w:rPr>
                <w:noProof/>
                <w:webHidden/>
              </w:rPr>
              <w:fldChar w:fldCharType="separate"/>
            </w:r>
            <w:r w:rsidR="007E015A">
              <w:rPr>
                <w:noProof/>
                <w:webHidden/>
              </w:rPr>
              <w:t>4</w:t>
            </w:r>
            <w:r w:rsidR="007E015A">
              <w:rPr>
                <w:noProof/>
                <w:webHidden/>
              </w:rPr>
              <w:fldChar w:fldCharType="end"/>
            </w:r>
          </w:hyperlink>
        </w:p>
        <w:p w14:paraId="4E34E2AA" w14:textId="53B827D0" w:rsidR="007E015A" w:rsidRDefault="00223D23">
          <w:pPr>
            <w:pStyle w:val="Verzeichnis2"/>
            <w:tabs>
              <w:tab w:val="right" w:leader="dot" w:pos="8680"/>
            </w:tabs>
            <w:rPr>
              <w:rFonts w:asciiTheme="minorHAnsi"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6791223" w:history="1">
            <w:r w:rsidR="007E015A" w:rsidRPr="00EC29AD">
              <w:rPr>
                <w:rStyle w:val="Hyperlink"/>
                <w:noProof/>
              </w:rPr>
              <w:t>2.2 Kategorisierung der Metadaten-Ebenen</w:t>
            </w:r>
            <w:r w:rsidR="007E015A">
              <w:rPr>
                <w:noProof/>
                <w:webHidden/>
              </w:rPr>
              <w:tab/>
            </w:r>
            <w:r w:rsidR="007E015A">
              <w:rPr>
                <w:noProof/>
                <w:webHidden/>
              </w:rPr>
              <w:fldChar w:fldCharType="begin"/>
            </w:r>
            <w:r w:rsidR="007E015A">
              <w:rPr>
                <w:noProof/>
                <w:webHidden/>
              </w:rPr>
              <w:instrText xml:space="preserve"> PAGEREF _Toc216791223 \h </w:instrText>
            </w:r>
            <w:r w:rsidR="007E015A">
              <w:rPr>
                <w:noProof/>
                <w:webHidden/>
              </w:rPr>
            </w:r>
            <w:r w:rsidR="007E015A">
              <w:rPr>
                <w:noProof/>
                <w:webHidden/>
              </w:rPr>
              <w:fldChar w:fldCharType="separate"/>
            </w:r>
            <w:r w:rsidR="007E015A">
              <w:rPr>
                <w:noProof/>
                <w:webHidden/>
              </w:rPr>
              <w:t>5</w:t>
            </w:r>
            <w:r w:rsidR="007E015A">
              <w:rPr>
                <w:noProof/>
                <w:webHidden/>
              </w:rPr>
              <w:fldChar w:fldCharType="end"/>
            </w:r>
          </w:hyperlink>
        </w:p>
        <w:p w14:paraId="5DE86DE5" w14:textId="3323C056" w:rsidR="007E015A" w:rsidRDefault="00223D23">
          <w:pPr>
            <w:pStyle w:val="Verzeichnis2"/>
            <w:tabs>
              <w:tab w:val="right" w:leader="dot" w:pos="8680"/>
            </w:tabs>
            <w:rPr>
              <w:rFonts w:asciiTheme="minorHAnsi"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6791224" w:history="1">
            <w:r w:rsidR="007E015A" w:rsidRPr="00EC29AD">
              <w:rPr>
                <w:rStyle w:val="Hyperlink"/>
                <w:noProof/>
              </w:rPr>
              <w:t>2.3 Verwendete Ontologien und Vokabulare</w:t>
            </w:r>
            <w:r w:rsidR="007E015A">
              <w:rPr>
                <w:noProof/>
                <w:webHidden/>
              </w:rPr>
              <w:tab/>
            </w:r>
            <w:r w:rsidR="007E015A">
              <w:rPr>
                <w:noProof/>
                <w:webHidden/>
              </w:rPr>
              <w:fldChar w:fldCharType="begin"/>
            </w:r>
            <w:r w:rsidR="007E015A">
              <w:rPr>
                <w:noProof/>
                <w:webHidden/>
              </w:rPr>
              <w:instrText xml:space="preserve"> PAGEREF _Toc216791224 \h </w:instrText>
            </w:r>
            <w:r w:rsidR="007E015A">
              <w:rPr>
                <w:noProof/>
                <w:webHidden/>
              </w:rPr>
            </w:r>
            <w:r w:rsidR="007E015A">
              <w:rPr>
                <w:noProof/>
                <w:webHidden/>
              </w:rPr>
              <w:fldChar w:fldCharType="separate"/>
            </w:r>
            <w:r w:rsidR="007E015A">
              <w:rPr>
                <w:noProof/>
                <w:webHidden/>
              </w:rPr>
              <w:t>6</w:t>
            </w:r>
            <w:r w:rsidR="007E015A">
              <w:rPr>
                <w:noProof/>
                <w:webHidden/>
              </w:rPr>
              <w:fldChar w:fldCharType="end"/>
            </w:r>
          </w:hyperlink>
        </w:p>
        <w:p w14:paraId="38CCD7BD" w14:textId="416AB45A" w:rsidR="007E015A" w:rsidRDefault="00223D23">
          <w:pPr>
            <w:pStyle w:val="Verzeichnis1"/>
            <w:tabs>
              <w:tab w:val="right" w:leader="dot" w:pos="8680"/>
            </w:tabs>
            <w:rPr>
              <w:rFonts w:asciiTheme="minorHAnsi"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6791225" w:history="1">
            <w:r w:rsidR="007E015A" w:rsidRPr="00EC29AD">
              <w:rPr>
                <w:rStyle w:val="Hyperlink"/>
                <w:noProof/>
              </w:rPr>
              <w:t>3. Handlungsbedarfe: Wo mehr Zusammenarbeit notwendig ist</w:t>
            </w:r>
            <w:r w:rsidR="007E015A">
              <w:rPr>
                <w:noProof/>
                <w:webHidden/>
              </w:rPr>
              <w:tab/>
            </w:r>
            <w:r w:rsidR="007E015A">
              <w:rPr>
                <w:noProof/>
                <w:webHidden/>
              </w:rPr>
              <w:fldChar w:fldCharType="begin"/>
            </w:r>
            <w:r w:rsidR="007E015A">
              <w:rPr>
                <w:noProof/>
                <w:webHidden/>
              </w:rPr>
              <w:instrText xml:space="preserve"> PAGEREF _Toc216791225 \h </w:instrText>
            </w:r>
            <w:r w:rsidR="007E015A">
              <w:rPr>
                <w:noProof/>
                <w:webHidden/>
              </w:rPr>
            </w:r>
            <w:r w:rsidR="007E015A">
              <w:rPr>
                <w:noProof/>
                <w:webHidden/>
              </w:rPr>
              <w:fldChar w:fldCharType="separate"/>
            </w:r>
            <w:r w:rsidR="007E015A">
              <w:rPr>
                <w:noProof/>
                <w:webHidden/>
              </w:rPr>
              <w:t>6</w:t>
            </w:r>
            <w:r w:rsidR="007E015A">
              <w:rPr>
                <w:noProof/>
                <w:webHidden/>
              </w:rPr>
              <w:fldChar w:fldCharType="end"/>
            </w:r>
          </w:hyperlink>
        </w:p>
        <w:p w14:paraId="257D3691" w14:textId="150046D6" w:rsidR="007E015A" w:rsidRDefault="00223D23">
          <w:pPr>
            <w:pStyle w:val="Verzeichnis2"/>
            <w:tabs>
              <w:tab w:val="right" w:leader="dot" w:pos="8680"/>
            </w:tabs>
            <w:rPr>
              <w:rFonts w:asciiTheme="minorHAnsi"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6791226" w:history="1">
            <w:r w:rsidR="007E015A" w:rsidRPr="00EC29AD">
              <w:rPr>
                <w:rStyle w:val="Hyperlink"/>
                <w:noProof/>
              </w:rPr>
              <w:t>3.1 Technische Harmonisierungserfordernisse</w:t>
            </w:r>
            <w:r w:rsidR="007E015A">
              <w:rPr>
                <w:noProof/>
                <w:webHidden/>
              </w:rPr>
              <w:tab/>
            </w:r>
            <w:r w:rsidR="007E015A">
              <w:rPr>
                <w:noProof/>
                <w:webHidden/>
              </w:rPr>
              <w:fldChar w:fldCharType="begin"/>
            </w:r>
            <w:r w:rsidR="007E015A">
              <w:rPr>
                <w:noProof/>
                <w:webHidden/>
              </w:rPr>
              <w:instrText xml:space="preserve"> PAGEREF _Toc216791226 \h </w:instrText>
            </w:r>
            <w:r w:rsidR="007E015A">
              <w:rPr>
                <w:noProof/>
                <w:webHidden/>
              </w:rPr>
            </w:r>
            <w:r w:rsidR="007E015A">
              <w:rPr>
                <w:noProof/>
                <w:webHidden/>
              </w:rPr>
              <w:fldChar w:fldCharType="separate"/>
            </w:r>
            <w:r w:rsidR="007E015A">
              <w:rPr>
                <w:noProof/>
                <w:webHidden/>
              </w:rPr>
              <w:t>6</w:t>
            </w:r>
            <w:r w:rsidR="007E015A">
              <w:rPr>
                <w:noProof/>
                <w:webHidden/>
              </w:rPr>
              <w:fldChar w:fldCharType="end"/>
            </w:r>
          </w:hyperlink>
        </w:p>
        <w:p w14:paraId="4FA32866" w14:textId="6ED39BC2" w:rsidR="007E015A" w:rsidRDefault="00223D23">
          <w:pPr>
            <w:pStyle w:val="Verzeichnis2"/>
            <w:tabs>
              <w:tab w:val="right" w:leader="dot" w:pos="8680"/>
            </w:tabs>
            <w:rPr>
              <w:rFonts w:asciiTheme="minorHAnsi"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6791227" w:history="1">
            <w:r w:rsidR="007E015A" w:rsidRPr="00EC29AD">
              <w:rPr>
                <w:rStyle w:val="Hyperlink"/>
                <w:noProof/>
              </w:rPr>
              <w:t>3.2 Governance und Datenschutz</w:t>
            </w:r>
            <w:r w:rsidR="007E015A">
              <w:rPr>
                <w:noProof/>
                <w:webHidden/>
              </w:rPr>
              <w:tab/>
            </w:r>
            <w:r w:rsidR="007E015A">
              <w:rPr>
                <w:noProof/>
                <w:webHidden/>
              </w:rPr>
              <w:fldChar w:fldCharType="begin"/>
            </w:r>
            <w:r w:rsidR="007E015A">
              <w:rPr>
                <w:noProof/>
                <w:webHidden/>
              </w:rPr>
              <w:instrText xml:space="preserve"> PAGEREF _Toc216791227 \h </w:instrText>
            </w:r>
            <w:r w:rsidR="007E015A">
              <w:rPr>
                <w:noProof/>
                <w:webHidden/>
              </w:rPr>
            </w:r>
            <w:r w:rsidR="007E015A">
              <w:rPr>
                <w:noProof/>
                <w:webHidden/>
              </w:rPr>
              <w:fldChar w:fldCharType="separate"/>
            </w:r>
            <w:r w:rsidR="007E015A">
              <w:rPr>
                <w:noProof/>
                <w:webHidden/>
              </w:rPr>
              <w:t>7</w:t>
            </w:r>
            <w:r w:rsidR="007E015A">
              <w:rPr>
                <w:noProof/>
                <w:webHidden/>
              </w:rPr>
              <w:fldChar w:fldCharType="end"/>
            </w:r>
          </w:hyperlink>
        </w:p>
        <w:p w14:paraId="4151B516" w14:textId="22727EB8" w:rsidR="007E015A" w:rsidRDefault="00223D23">
          <w:pPr>
            <w:pStyle w:val="Verzeichnis2"/>
            <w:tabs>
              <w:tab w:val="right" w:leader="dot" w:pos="8680"/>
            </w:tabs>
            <w:rPr>
              <w:rFonts w:asciiTheme="minorHAnsi"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6791228" w:history="1">
            <w:r w:rsidR="007E015A" w:rsidRPr="00EC29AD">
              <w:rPr>
                <w:rStyle w:val="Hyperlink"/>
                <w:noProof/>
              </w:rPr>
              <w:t>3.3 Organisatorische und personelle Erfordernisse</w:t>
            </w:r>
            <w:r w:rsidR="007E015A">
              <w:rPr>
                <w:noProof/>
                <w:webHidden/>
              </w:rPr>
              <w:tab/>
            </w:r>
            <w:r w:rsidR="007E015A">
              <w:rPr>
                <w:noProof/>
                <w:webHidden/>
              </w:rPr>
              <w:fldChar w:fldCharType="begin"/>
            </w:r>
            <w:r w:rsidR="007E015A">
              <w:rPr>
                <w:noProof/>
                <w:webHidden/>
              </w:rPr>
              <w:instrText xml:space="preserve"> PAGEREF _Toc216791228 \h </w:instrText>
            </w:r>
            <w:r w:rsidR="007E015A">
              <w:rPr>
                <w:noProof/>
                <w:webHidden/>
              </w:rPr>
            </w:r>
            <w:r w:rsidR="007E015A">
              <w:rPr>
                <w:noProof/>
                <w:webHidden/>
              </w:rPr>
              <w:fldChar w:fldCharType="separate"/>
            </w:r>
            <w:r w:rsidR="007E015A">
              <w:rPr>
                <w:noProof/>
                <w:webHidden/>
              </w:rPr>
              <w:t>7</w:t>
            </w:r>
            <w:r w:rsidR="007E015A">
              <w:rPr>
                <w:noProof/>
                <w:webHidden/>
              </w:rPr>
              <w:fldChar w:fldCharType="end"/>
            </w:r>
          </w:hyperlink>
        </w:p>
        <w:p w14:paraId="769CD346" w14:textId="05C622AB" w:rsidR="007E015A" w:rsidRDefault="00223D23">
          <w:pPr>
            <w:pStyle w:val="Verzeichnis1"/>
            <w:tabs>
              <w:tab w:val="right" w:leader="dot" w:pos="8680"/>
            </w:tabs>
            <w:rPr>
              <w:rFonts w:asciiTheme="minorHAnsi"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6791229" w:history="1">
            <w:r w:rsidR="007E015A" w:rsidRPr="00EC29AD">
              <w:rPr>
                <w:rStyle w:val="Hyperlink"/>
                <w:rFonts w:eastAsia="Georgia"/>
                <w:noProof/>
              </w:rPr>
              <w:t>4. Der Nutzen: Mehrwert der Metadaten-Interoperabilit</w:t>
            </w:r>
            <w:r w:rsidR="007E015A" w:rsidRPr="00EC29AD">
              <w:rPr>
                <w:rStyle w:val="Hyperlink"/>
                <w:rFonts w:eastAsia="Georgia"/>
                <w:noProof/>
              </w:rPr>
              <w:t>ä</w:t>
            </w:r>
            <w:r w:rsidR="007E015A" w:rsidRPr="00EC29AD">
              <w:rPr>
                <w:rStyle w:val="Hyperlink"/>
                <w:rFonts w:eastAsia="Georgia"/>
                <w:noProof/>
              </w:rPr>
              <w:t>t</w:t>
            </w:r>
            <w:r w:rsidR="007E015A">
              <w:rPr>
                <w:noProof/>
                <w:webHidden/>
              </w:rPr>
              <w:tab/>
            </w:r>
            <w:r w:rsidR="007E015A">
              <w:rPr>
                <w:noProof/>
                <w:webHidden/>
              </w:rPr>
              <w:fldChar w:fldCharType="begin"/>
            </w:r>
            <w:r w:rsidR="007E015A">
              <w:rPr>
                <w:noProof/>
                <w:webHidden/>
              </w:rPr>
              <w:instrText xml:space="preserve"> PAGEREF _Toc216791229 \h </w:instrText>
            </w:r>
            <w:r w:rsidR="007E015A">
              <w:rPr>
                <w:noProof/>
                <w:webHidden/>
              </w:rPr>
            </w:r>
            <w:r w:rsidR="007E015A">
              <w:rPr>
                <w:noProof/>
                <w:webHidden/>
              </w:rPr>
              <w:fldChar w:fldCharType="separate"/>
            </w:r>
            <w:r w:rsidR="007E015A">
              <w:rPr>
                <w:noProof/>
                <w:webHidden/>
              </w:rPr>
              <w:t>8</w:t>
            </w:r>
            <w:r w:rsidR="007E015A">
              <w:rPr>
                <w:noProof/>
                <w:webHidden/>
              </w:rPr>
              <w:fldChar w:fldCharType="end"/>
            </w:r>
          </w:hyperlink>
        </w:p>
        <w:p w14:paraId="79620CCD" w14:textId="6D5A8EFD" w:rsidR="007E015A" w:rsidRDefault="00223D23">
          <w:pPr>
            <w:pStyle w:val="Verzeichnis2"/>
            <w:tabs>
              <w:tab w:val="right" w:leader="dot" w:pos="8680"/>
            </w:tabs>
            <w:rPr>
              <w:rFonts w:asciiTheme="minorHAnsi"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6791230" w:history="1">
            <w:r w:rsidR="007E015A" w:rsidRPr="00EC29AD">
              <w:rPr>
                <w:rStyle w:val="Hyperlink"/>
                <w:rFonts w:eastAsia="Georgia"/>
                <w:noProof/>
              </w:rPr>
              <w:t>4.1 FAIR-Konformit</w:t>
            </w:r>
            <w:r w:rsidR="007E015A" w:rsidRPr="00EC29AD">
              <w:rPr>
                <w:rStyle w:val="Hyperlink"/>
                <w:rFonts w:eastAsia="Georgia"/>
                <w:noProof/>
              </w:rPr>
              <w:t>ä</w:t>
            </w:r>
            <w:r w:rsidR="007E015A" w:rsidRPr="00EC29AD">
              <w:rPr>
                <w:rStyle w:val="Hyperlink"/>
                <w:rFonts w:eastAsia="Georgia"/>
                <w:noProof/>
              </w:rPr>
              <w:t>t und Datenqualit</w:t>
            </w:r>
            <w:r w:rsidR="007E015A" w:rsidRPr="00EC29AD">
              <w:rPr>
                <w:rStyle w:val="Hyperlink"/>
                <w:rFonts w:eastAsia="Georgia"/>
                <w:noProof/>
              </w:rPr>
              <w:t>ä</w:t>
            </w:r>
            <w:r w:rsidR="007E015A" w:rsidRPr="00EC29AD">
              <w:rPr>
                <w:rStyle w:val="Hyperlink"/>
                <w:rFonts w:eastAsia="Georgia"/>
                <w:noProof/>
              </w:rPr>
              <w:t>t</w:t>
            </w:r>
            <w:r w:rsidR="007E015A">
              <w:rPr>
                <w:noProof/>
                <w:webHidden/>
              </w:rPr>
              <w:tab/>
            </w:r>
            <w:r w:rsidR="007E015A">
              <w:rPr>
                <w:noProof/>
                <w:webHidden/>
              </w:rPr>
              <w:fldChar w:fldCharType="begin"/>
            </w:r>
            <w:r w:rsidR="007E015A">
              <w:rPr>
                <w:noProof/>
                <w:webHidden/>
              </w:rPr>
              <w:instrText xml:space="preserve"> PAGEREF _Toc216791230 \h </w:instrText>
            </w:r>
            <w:r w:rsidR="007E015A">
              <w:rPr>
                <w:noProof/>
                <w:webHidden/>
              </w:rPr>
            </w:r>
            <w:r w:rsidR="007E015A">
              <w:rPr>
                <w:noProof/>
                <w:webHidden/>
              </w:rPr>
              <w:fldChar w:fldCharType="separate"/>
            </w:r>
            <w:r w:rsidR="007E015A">
              <w:rPr>
                <w:noProof/>
                <w:webHidden/>
              </w:rPr>
              <w:t>8</w:t>
            </w:r>
            <w:r w:rsidR="007E015A">
              <w:rPr>
                <w:noProof/>
                <w:webHidden/>
              </w:rPr>
              <w:fldChar w:fldCharType="end"/>
            </w:r>
          </w:hyperlink>
        </w:p>
        <w:p w14:paraId="419215B9" w14:textId="142E4761" w:rsidR="007E015A" w:rsidRDefault="00223D23">
          <w:pPr>
            <w:pStyle w:val="Verzeichnis2"/>
            <w:tabs>
              <w:tab w:val="right" w:leader="dot" w:pos="8680"/>
            </w:tabs>
            <w:rPr>
              <w:rFonts w:asciiTheme="minorHAnsi"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6791231" w:history="1">
            <w:r w:rsidR="007E015A" w:rsidRPr="00EC29AD">
              <w:rPr>
                <w:rStyle w:val="Hyperlink"/>
                <w:rFonts w:eastAsia="Georgia"/>
                <w:noProof/>
              </w:rPr>
              <w:t>4.2 Dom</w:t>
            </w:r>
            <w:r w:rsidR="007E015A" w:rsidRPr="00EC29AD">
              <w:rPr>
                <w:rStyle w:val="Hyperlink"/>
                <w:rFonts w:eastAsia="Georgia"/>
                <w:noProof/>
              </w:rPr>
              <w:t>ä</w:t>
            </w:r>
            <w:r w:rsidR="007E015A" w:rsidRPr="00EC29AD">
              <w:rPr>
                <w:rStyle w:val="Hyperlink"/>
                <w:rFonts w:eastAsia="Georgia"/>
                <w:noProof/>
              </w:rPr>
              <w:t>nen</w:t>
            </w:r>
            <w:r w:rsidR="007E015A" w:rsidRPr="00EC29AD">
              <w:rPr>
                <w:rStyle w:val="Hyperlink"/>
                <w:rFonts w:eastAsia="Georgia"/>
                <w:noProof/>
              </w:rPr>
              <w:t>ü</w:t>
            </w:r>
            <w:r w:rsidR="007E015A" w:rsidRPr="00EC29AD">
              <w:rPr>
                <w:rStyle w:val="Hyperlink"/>
                <w:rFonts w:eastAsia="Georgia"/>
                <w:noProof/>
              </w:rPr>
              <w:t>bergreifende Datenintegration und Daten-Fusion</w:t>
            </w:r>
            <w:r w:rsidR="007E015A">
              <w:rPr>
                <w:noProof/>
                <w:webHidden/>
              </w:rPr>
              <w:tab/>
            </w:r>
            <w:r w:rsidR="007E015A">
              <w:rPr>
                <w:noProof/>
                <w:webHidden/>
              </w:rPr>
              <w:fldChar w:fldCharType="begin"/>
            </w:r>
            <w:r w:rsidR="007E015A">
              <w:rPr>
                <w:noProof/>
                <w:webHidden/>
              </w:rPr>
              <w:instrText xml:space="preserve"> PAGEREF _Toc216791231 \h </w:instrText>
            </w:r>
            <w:r w:rsidR="007E015A">
              <w:rPr>
                <w:noProof/>
                <w:webHidden/>
              </w:rPr>
            </w:r>
            <w:r w:rsidR="007E015A">
              <w:rPr>
                <w:noProof/>
                <w:webHidden/>
              </w:rPr>
              <w:fldChar w:fldCharType="separate"/>
            </w:r>
            <w:r w:rsidR="007E015A">
              <w:rPr>
                <w:noProof/>
                <w:webHidden/>
              </w:rPr>
              <w:t>8</w:t>
            </w:r>
            <w:r w:rsidR="007E015A">
              <w:rPr>
                <w:noProof/>
                <w:webHidden/>
              </w:rPr>
              <w:fldChar w:fldCharType="end"/>
            </w:r>
          </w:hyperlink>
        </w:p>
        <w:p w14:paraId="1C5840C9" w14:textId="1D643FE6" w:rsidR="007E015A" w:rsidRDefault="00223D23">
          <w:pPr>
            <w:pStyle w:val="Verzeichnis2"/>
            <w:tabs>
              <w:tab w:val="right" w:leader="dot" w:pos="8680"/>
            </w:tabs>
            <w:rPr>
              <w:rFonts w:asciiTheme="minorHAnsi"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6791232" w:history="1">
            <w:r w:rsidR="007E015A" w:rsidRPr="00EC29AD">
              <w:rPr>
                <w:rStyle w:val="Hyperlink"/>
                <w:noProof/>
              </w:rPr>
              <w:t>4.3 Maschinelle Verarbeitbarkeit und semantische Konsistenz</w:t>
            </w:r>
            <w:r w:rsidR="007E015A">
              <w:rPr>
                <w:noProof/>
                <w:webHidden/>
              </w:rPr>
              <w:tab/>
            </w:r>
            <w:r w:rsidR="007E015A">
              <w:rPr>
                <w:noProof/>
                <w:webHidden/>
              </w:rPr>
              <w:fldChar w:fldCharType="begin"/>
            </w:r>
            <w:r w:rsidR="007E015A">
              <w:rPr>
                <w:noProof/>
                <w:webHidden/>
              </w:rPr>
              <w:instrText xml:space="preserve"> PAGEREF _Toc216791232 \h </w:instrText>
            </w:r>
            <w:r w:rsidR="007E015A">
              <w:rPr>
                <w:noProof/>
                <w:webHidden/>
              </w:rPr>
            </w:r>
            <w:r w:rsidR="007E015A">
              <w:rPr>
                <w:noProof/>
                <w:webHidden/>
              </w:rPr>
              <w:fldChar w:fldCharType="separate"/>
            </w:r>
            <w:r w:rsidR="007E015A">
              <w:rPr>
                <w:noProof/>
                <w:webHidden/>
              </w:rPr>
              <w:t>8</w:t>
            </w:r>
            <w:r w:rsidR="007E015A">
              <w:rPr>
                <w:noProof/>
                <w:webHidden/>
              </w:rPr>
              <w:fldChar w:fldCharType="end"/>
            </w:r>
          </w:hyperlink>
        </w:p>
        <w:p w14:paraId="00BA2C0D" w14:textId="144B04BB" w:rsidR="007E015A" w:rsidRDefault="00223D23">
          <w:pPr>
            <w:pStyle w:val="Verzeichnis2"/>
            <w:tabs>
              <w:tab w:val="right" w:leader="dot" w:pos="8680"/>
            </w:tabs>
            <w:rPr>
              <w:rFonts w:asciiTheme="minorHAnsi"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6791233" w:history="1">
            <w:r w:rsidR="007E015A" w:rsidRPr="00EC29AD">
              <w:rPr>
                <w:rStyle w:val="Hyperlink"/>
                <w:noProof/>
              </w:rPr>
              <w:t>4.4 Skalierbare Reproduzierbarkeit und Meta-Analysen</w:t>
            </w:r>
            <w:r w:rsidR="007E015A">
              <w:rPr>
                <w:noProof/>
                <w:webHidden/>
              </w:rPr>
              <w:tab/>
            </w:r>
            <w:r w:rsidR="007E015A">
              <w:rPr>
                <w:noProof/>
                <w:webHidden/>
              </w:rPr>
              <w:fldChar w:fldCharType="begin"/>
            </w:r>
            <w:r w:rsidR="007E015A">
              <w:rPr>
                <w:noProof/>
                <w:webHidden/>
              </w:rPr>
              <w:instrText xml:space="preserve"> PAGEREF _Toc216791233 \h </w:instrText>
            </w:r>
            <w:r w:rsidR="007E015A">
              <w:rPr>
                <w:noProof/>
                <w:webHidden/>
              </w:rPr>
            </w:r>
            <w:r w:rsidR="007E015A">
              <w:rPr>
                <w:noProof/>
                <w:webHidden/>
              </w:rPr>
              <w:fldChar w:fldCharType="separate"/>
            </w:r>
            <w:r w:rsidR="007E015A">
              <w:rPr>
                <w:noProof/>
                <w:webHidden/>
              </w:rPr>
              <w:t>9</w:t>
            </w:r>
            <w:r w:rsidR="007E015A">
              <w:rPr>
                <w:noProof/>
                <w:webHidden/>
              </w:rPr>
              <w:fldChar w:fldCharType="end"/>
            </w:r>
          </w:hyperlink>
        </w:p>
        <w:p w14:paraId="013897B6" w14:textId="07E6C617" w:rsidR="007E015A" w:rsidRDefault="00223D23">
          <w:pPr>
            <w:pStyle w:val="Verzeichnis1"/>
            <w:tabs>
              <w:tab w:val="right" w:leader="dot" w:pos="8680"/>
            </w:tabs>
            <w:rPr>
              <w:rFonts w:asciiTheme="minorHAnsi"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6791234" w:history="1">
            <w:r w:rsidR="007E015A" w:rsidRPr="00EC29AD">
              <w:rPr>
                <w:rStyle w:val="Hyperlink"/>
                <w:rFonts w:eastAsia="Georgia"/>
                <w:noProof/>
              </w:rPr>
              <w:t>5. Die Vision: Metadaten-Interoperabilit</w:t>
            </w:r>
            <w:r w:rsidR="007E015A" w:rsidRPr="00EC29AD">
              <w:rPr>
                <w:rStyle w:val="Hyperlink"/>
                <w:rFonts w:eastAsia="Georgia"/>
                <w:noProof/>
              </w:rPr>
              <w:t>ä</w:t>
            </w:r>
            <w:r w:rsidR="007E015A" w:rsidRPr="00EC29AD">
              <w:rPr>
                <w:rStyle w:val="Hyperlink"/>
                <w:rFonts w:eastAsia="Georgia"/>
                <w:noProof/>
              </w:rPr>
              <w:t>t in BioMed</w:t>
            </w:r>
            <w:r w:rsidR="007E015A">
              <w:rPr>
                <w:noProof/>
                <w:webHidden/>
              </w:rPr>
              <w:tab/>
            </w:r>
            <w:r w:rsidR="007E015A">
              <w:rPr>
                <w:noProof/>
                <w:webHidden/>
              </w:rPr>
              <w:fldChar w:fldCharType="begin"/>
            </w:r>
            <w:r w:rsidR="007E015A">
              <w:rPr>
                <w:noProof/>
                <w:webHidden/>
              </w:rPr>
              <w:instrText xml:space="preserve"> PAGEREF _Toc216791234 \h </w:instrText>
            </w:r>
            <w:r w:rsidR="007E015A">
              <w:rPr>
                <w:noProof/>
                <w:webHidden/>
              </w:rPr>
            </w:r>
            <w:r w:rsidR="007E015A">
              <w:rPr>
                <w:noProof/>
                <w:webHidden/>
              </w:rPr>
              <w:fldChar w:fldCharType="separate"/>
            </w:r>
            <w:r w:rsidR="007E015A">
              <w:rPr>
                <w:noProof/>
                <w:webHidden/>
              </w:rPr>
              <w:t>9</w:t>
            </w:r>
            <w:r w:rsidR="007E015A">
              <w:rPr>
                <w:noProof/>
                <w:webHidden/>
              </w:rPr>
              <w:fldChar w:fldCharType="end"/>
            </w:r>
          </w:hyperlink>
        </w:p>
        <w:p w14:paraId="7320E24E" w14:textId="537FBAE4" w:rsidR="007E015A" w:rsidRDefault="00223D23">
          <w:pPr>
            <w:pStyle w:val="Verzeichnis2"/>
            <w:tabs>
              <w:tab w:val="right" w:leader="dot" w:pos="8680"/>
            </w:tabs>
            <w:rPr>
              <w:rFonts w:asciiTheme="minorHAnsi"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6791235" w:history="1">
            <w:r w:rsidR="007E015A" w:rsidRPr="00EC29AD">
              <w:rPr>
                <w:rStyle w:val="Hyperlink"/>
                <w:rFonts w:eastAsia="Georgia"/>
                <w:noProof/>
              </w:rPr>
              <w:t xml:space="preserve">5.1 Das Zukunftsszenario: </w:t>
            </w:r>
            <w:r w:rsidR="007E015A" w:rsidRPr="00EC29AD">
              <w:rPr>
                <w:rStyle w:val="Hyperlink"/>
                <w:rFonts w:eastAsia="Georgia"/>
                <w:noProof/>
              </w:rPr>
              <w:t>„</w:t>
            </w:r>
            <w:r w:rsidR="007E015A" w:rsidRPr="00EC29AD">
              <w:rPr>
                <w:rStyle w:val="Hyperlink"/>
                <w:rFonts w:eastAsia="Georgia"/>
                <w:noProof/>
              </w:rPr>
              <w:t>One-Stop-Shop" f</w:t>
            </w:r>
            <w:r w:rsidR="007E015A" w:rsidRPr="00EC29AD">
              <w:rPr>
                <w:rStyle w:val="Hyperlink"/>
                <w:rFonts w:eastAsia="Georgia"/>
                <w:noProof/>
              </w:rPr>
              <w:t>ü</w:t>
            </w:r>
            <w:r w:rsidR="007E015A" w:rsidRPr="00EC29AD">
              <w:rPr>
                <w:rStyle w:val="Hyperlink"/>
                <w:rFonts w:eastAsia="Georgia"/>
                <w:noProof/>
              </w:rPr>
              <w:t>r biomedizinische Daten</w:t>
            </w:r>
            <w:r w:rsidR="007E015A">
              <w:rPr>
                <w:noProof/>
                <w:webHidden/>
              </w:rPr>
              <w:tab/>
            </w:r>
            <w:r w:rsidR="007E015A">
              <w:rPr>
                <w:noProof/>
                <w:webHidden/>
              </w:rPr>
              <w:fldChar w:fldCharType="begin"/>
            </w:r>
            <w:r w:rsidR="007E015A">
              <w:rPr>
                <w:noProof/>
                <w:webHidden/>
              </w:rPr>
              <w:instrText xml:space="preserve"> PAGEREF _Toc216791235 \h </w:instrText>
            </w:r>
            <w:r w:rsidR="007E015A">
              <w:rPr>
                <w:noProof/>
                <w:webHidden/>
              </w:rPr>
            </w:r>
            <w:r w:rsidR="007E015A">
              <w:rPr>
                <w:noProof/>
                <w:webHidden/>
              </w:rPr>
              <w:fldChar w:fldCharType="separate"/>
            </w:r>
            <w:r w:rsidR="007E015A">
              <w:rPr>
                <w:noProof/>
                <w:webHidden/>
              </w:rPr>
              <w:t>9</w:t>
            </w:r>
            <w:r w:rsidR="007E015A">
              <w:rPr>
                <w:noProof/>
                <w:webHidden/>
              </w:rPr>
              <w:fldChar w:fldCharType="end"/>
            </w:r>
          </w:hyperlink>
        </w:p>
        <w:p w14:paraId="4F96B0B9" w14:textId="2E828900" w:rsidR="007E015A" w:rsidRDefault="00223D23">
          <w:pPr>
            <w:pStyle w:val="Verzeichnis2"/>
            <w:tabs>
              <w:tab w:val="right" w:leader="dot" w:pos="8680"/>
            </w:tabs>
            <w:rPr>
              <w:rFonts w:asciiTheme="minorHAnsi"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6791236" w:history="1">
            <w:r w:rsidR="007E015A" w:rsidRPr="00EC29AD">
              <w:rPr>
                <w:rStyle w:val="Hyperlink"/>
                <w:noProof/>
              </w:rPr>
              <w:t>5.2 Must-Haves: Erforderliche Implementierungsschritte</w:t>
            </w:r>
            <w:r w:rsidR="007E015A">
              <w:rPr>
                <w:noProof/>
                <w:webHidden/>
              </w:rPr>
              <w:tab/>
            </w:r>
            <w:r w:rsidR="007E015A">
              <w:rPr>
                <w:noProof/>
                <w:webHidden/>
              </w:rPr>
              <w:fldChar w:fldCharType="begin"/>
            </w:r>
            <w:r w:rsidR="007E015A">
              <w:rPr>
                <w:noProof/>
                <w:webHidden/>
              </w:rPr>
              <w:instrText xml:space="preserve"> PAGEREF _Toc216791236 \h </w:instrText>
            </w:r>
            <w:r w:rsidR="007E015A">
              <w:rPr>
                <w:noProof/>
                <w:webHidden/>
              </w:rPr>
            </w:r>
            <w:r w:rsidR="007E015A">
              <w:rPr>
                <w:noProof/>
                <w:webHidden/>
              </w:rPr>
              <w:fldChar w:fldCharType="separate"/>
            </w:r>
            <w:r w:rsidR="007E015A">
              <w:rPr>
                <w:noProof/>
                <w:webHidden/>
              </w:rPr>
              <w:t>10</w:t>
            </w:r>
            <w:r w:rsidR="007E015A">
              <w:rPr>
                <w:noProof/>
                <w:webHidden/>
              </w:rPr>
              <w:fldChar w:fldCharType="end"/>
            </w:r>
          </w:hyperlink>
        </w:p>
        <w:p w14:paraId="63068764" w14:textId="01EA4DEC" w:rsidR="007E015A" w:rsidRDefault="00223D23">
          <w:pPr>
            <w:pStyle w:val="Verzeichnis2"/>
            <w:tabs>
              <w:tab w:val="right" w:leader="dot" w:pos="8680"/>
            </w:tabs>
            <w:rPr>
              <w:rFonts w:asciiTheme="minorHAnsi"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6791237" w:history="1">
            <w:r w:rsidR="007E015A" w:rsidRPr="00EC29AD">
              <w:rPr>
                <w:rStyle w:val="Hyperlink"/>
                <w:rFonts w:eastAsia="Georgia"/>
                <w:noProof/>
              </w:rPr>
              <w:t>5.3 Nice-to-Haves: Erweiterte Funktionalit</w:t>
            </w:r>
            <w:r w:rsidR="007E015A" w:rsidRPr="00EC29AD">
              <w:rPr>
                <w:rStyle w:val="Hyperlink"/>
                <w:rFonts w:eastAsia="Georgia"/>
                <w:noProof/>
              </w:rPr>
              <w:t>ä</w:t>
            </w:r>
            <w:r w:rsidR="007E015A" w:rsidRPr="00EC29AD">
              <w:rPr>
                <w:rStyle w:val="Hyperlink"/>
                <w:rFonts w:eastAsia="Georgia"/>
                <w:noProof/>
              </w:rPr>
              <w:t>ten</w:t>
            </w:r>
            <w:r w:rsidR="007E015A">
              <w:rPr>
                <w:noProof/>
                <w:webHidden/>
              </w:rPr>
              <w:tab/>
            </w:r>
            <w:r w:rsidR="007E015A">
              <w:rPr>
                <w:noProof/>
                <w:webHidden/>
              </w:rPr>
              <w:fldChar w:fldCharType="begin"/>
            </w:r>
            <w:r w:rsidR="007E015A">
              <w:rPr>
                <w:noProof/>
                <w:webHidden/>
              </w:rPr>
              <w:instrText xml:space="preserve"> PAGEREF _Toc216791237 \h </w:instrText>
            </w:r>
            <w:r w:rsidR="007E015A">
              <w:rPr>
                <w:noProof/>
                <w:webHidden/>
              </w:rPr>
            </w:r>
            <w:r w:rsidR="007E015A">
              <w:rPr>
                <w:noProof/>
                <w:webHidden/>
              </w:rPr>
              <w:fldChar w:fldCharType="separate"/>
            </w:r>
            <w:r w:rsidR="007E015A">
              <w:rPr>
                <w:noProof/>
                <w:webHidden/>
              </w:rPr>
              <w:t>10</w:t>
            </w:r>
            <w:r w:rsidR="007E015A">
              <w:rPr>
                <w:noProof/>
                <w:webHidden/>
              </w:rPr>
              <w:fldChar w:fldCharType="end"/>
            </w:r>
          </w:hyperlink>
        </w:p>
        <w:p w14:paraId="0C84ED89" w14:textId="08227F5D" w:rsidR="007E015A" w:rsidRDefault="00223D23">
          <w:pPr>
            <w:pStyle w:val="Verzeichnis1"/>
            <w:tabs>
              <w:tab w:val="left" w:pos="480"/>
              <w:tab w:val="right" w:leader="dot" w:pos="8680"/>
            </w:tabs>
            <w:rPr>
              <w:rFonts w:asciiTheme="minorHAnsi"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6791238" w:history="1">
            <w:r w:rsidR="007E015A" w:rsidRPr="00EC29AD">
              <w:rPr>
                <w:rStyle w:val="Hyperlink"/>
                <w:noProof/>
              </w:rPr>
              <w:t>6.</w:t>
            </w:r>
            <w:r w:rsidR="007E015A">
              <w:rPr>
                <w:rFonts w:asciiTheme="minorHAnsi" w:eastAsiaTheme="minorEastAsia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="007E015A" w:rsidRPr="00EC29AD">
              <w:rPr>
                <w:rStyle w:val="Hyperlink"/>
                <w:noProof/>
              </w:rPr>
              <w:t>Roadmap: Pfad zur Umsetzung</w:t>
            </w:r>
            <w:r w:rsidR="007E015A">
              <w:rPr>
                <w:noProof/>
                <w:webHidden/>
              </w:rPr>
              <w:tab/>
            </w:r>
            <w:r w:rsidR="007E015A">
              <w:rPr>
                <w:noProof/>
                <w:webHidden/>
              </w:rPr>
              <w:fldChar w:fldCharType="begin"/>
            </w:r>
            <w:r w:rsidR="007E015A">
              <w:rPr>
                <w:noProof/>
                <w:webHidden/>
              </w:rPr>
              <w:instrText xml:space="preserve"> PAGEREF _Toc216791238 \h </w:instrText>
            </w:r>
            <w:r w:rsidR="007E015A">
              <w:rPr>
                <w:noProof/>
                <w:webHidden/>
              </w:rPr>
            </w:r>
            <w:r w:rsidR="007E015A">
              <w:rPr>
                <w:noProof/>
                <w:webHidden/>
              </w:rPr>
              <w:fldChar w:fldCharType="separate"/>
            </w:r>
            <w:r w:rsidR="007E015A">
              <w:rPr>
                <w:noProof/>
                <w:webHidden/>
              </w:rPr>
              <w:t>11</w:t>
            </w:r>
            <w:r w:rsidR="007E015A">
              <w:rPr>
                <w:noProof/>
                <w:webHidden/>
              </w:rPr>
              <w:fldChar w:fldCharType="end"/>
            </w:r>
          </w:hyperlink>
        </w:p>
        <w:p w14:paraId="62994AF4" w14:textId="07E7BA23" w:rsidR="007E015A" w:rsidRDefault="00223D23">
          <w:pPr>
            <w:pStyle w:val="Verzeichnis2"/>
            <w:tabs>
              <w:tab w:val="right" w:leader="dot" w:pos="8680"/>
            </w:tabs>
            <w:rPr>
              <w:rFonts w:asciiTheme="minorHAnsi"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6791239" w:history="1">
            <w:r w:rsidR="007E015A" w:rsidRPr="00EC29AD">
              <w:rPr>
                <w:rStyle w:val="Hyperlink"/>
                <w:rFonts w:eastAsia="Georgia"/>
                <w:noProof/>
              </w:rPr>
              <w:t>6.1 Sofortma</w:t>
            </w:r>
            <w:r w:rsidR="007E015A" w:rsidRPr="00EC29AD">
              <w:rPr>
                <w:rStyle w:val="Hyperlink"/>
                <w:rFonts w:eastAsia="Georgia"/>
                <w:noProof/>
              </w:rPr>
              <w:t>ß</w:t>
            </w:r>
            <w:r w:rsidR="007E015A" w:rsidRPr="00EC29AD">
              <w:rPr>
                <w:rStyle w:val="Hyperlink"/>
                <w:rFonts w:eastAsia="Georgia"/>
                <w:noProof/>
              </w:rPr>
              <w:t>nahmen</w:t>
            </w:r>
            <w:r w:rsidR="007E015A">
              <w:rPr>
                <w:noProof/>
                <w:webHidden/>
              </w:rPr>
              <w:tab/>
            </w:r>
            <w:r w:rsidR="007E015A">
              <w:rPr>
                <w:noProof/>
                <w:webHidden/>
              </w:rPr>
              <w:fldChar w:fldCharType="begin"/>
            </w:r>
            <w:r w:rsidR="007E015A">
              <w:rPr>
                <w:noProof/>
                <w:webHidden/>
              </w:rPr>
              <w:instrText xml:space="preserve"> PAGEREF _Toc216791239 \h </w:instrText>
            </w:r>
            <w:r w:rsidR="007E015A">
              <w:rPr>
                <w:noProof/>
                <w:webHidden/>
              </w:rPr>
            </w:r>
            <w:r w:rsidR="007E015A">
              <w:rPr>
                <w:noProof/>
                <w:webHidden/>
              </w:rPr>
              <w:fldChar w:fldCharType="separate"/>
            </w:r>
            <w:r w:rsidR="007E015A">
              <w:rPr>
                <w:noProof/>
                <w:webHidden/>
              </w:rPr>
              <w:t>11</w:t>
            </w:r>
            <w:r w:rsidR="007E015A">
              <w:rPr>
                <w:noProof/>
                <w:webHidden/>
              </w:rPr>
              <w:fldChar w:fldCharType="end"/>
            </w:r>
          </w:hyperlink>
        </w:p>
        <w:p w14:paraId="2DDD5699" w14:textId="047E85DF" w:rsidR="007E015A" w:rsidRDefault="00223D23">
          <w:pPr>
            <w:pStyle w:val="Verzeichnis2"/>
            <w:tabs>
              <w:tab w:val="right" w:leader="dot" w:pos="8680"/>
            </w:tabs>
            <w:rPr>
              <w:rFonts w:asciiTheme="minorHAnsi"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6791240" w:history="1">
            <w:r w:rsidR="007E015A" w:rsidRPr="00EC29AD">
              <w:rPr>
                <w:rStyle w:val="Hyperlink"/>
                <w:rFonts w:eastAsia="Georgia"/>
                <w:noProof/>
              </w:rPr>
              <w:t>6.2 Mittelfristige Ma</w:t>
            </w:r>
            <w:r w:rsidR="007E015A" w:rsidRPr="00EC29AD">
              <w:rPr>
                <w:rStyle w:val="Hyperlink"/>
                <w:rFonts w:eastAsia="Georgia"/>
                <w:noProof/>
              </w:rPr>
              <w:t>ß</w:t>
            </w:r>
            <w:r w:rsidR="007E015A" w:rsidRPr="00EC29AD">
              <w:rPr>
                <w:rStyle w:val="Hyperlink"/>
                <w:rFonts w:eastAsia="Georgia"/>
                <w:noProof/>
              </w:rPr>
              <w:t>nahmen</w:t>
            </w:r>
            <w:r w:rsidR="007E015A">
              <w:rPr>
                <w:noProof/>
                <w:webHidden/>
              </w:rPr>
              <w:tab/>
            </w:r>
            <w:r w:rsidR="007E015A">
              <w:rPr>
                <w:noProof/>
                <w:webHidden/>
              </w:rPr>
              <w:fldChar w:fldCharType="begin"/>
            </w:r>
            <w:r w:rsidR="007E015A">
              <w:rPr>
                <w:noProof/>
                <w:webHidden/>
              </w:rPr>
              <w:instrText xml:space="preserve"> PAGEREF _Toc216791240 \h </w:instrText>
            </w:r>
            <w:r w:rsidR="007E015A">
              <w:rPr>
                <w:noProof/>
                <w:webHidden/>
              </w:rPr>
            </w:r>
            <w:r w:rsidR="007E015A">
              <w:rPr>
                <w:noProof/>
                <w:webHidden/>
              </w:rPr>
              <w:fldChar w:fldCharType="separate"/>
            </w:r>
            <w:r w:rsidR="007E015A">
              <w:rPr>
                <w:noProof/>
                <w:webHidden/>
              </w:rPr>
              <w:t>11</w:t>
            </w:r>
            <w:r w:rsidR="007E015A">
              <w:rPr>
                <w:noProof/>
                <w:webHidden/>
              </w:rPr>
              <w:fldChar w:fldCharType="end"/>
            </w:r>
          </w:hyperlink>
        </w:p>
        <w:p w14:paraId="1F4FEAE6" w14:textId="7381B3FF" w:rsidR="007E015A" w:rsidRDefault="00223D23">
          <w:pPr>
            <w:pStyle w:val="Verzeichnis1"/>
            <w:tabs>
              <w:tab w:val="right" w:leader="dot" w:pos="8680"/>
            </w:tabs>
            <w:rPr>
              <w:rFonts w:asciiTheme="minorHAnsi"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6791241" w:history="1">
            <w:r w:rsidR="007E015A" w:rsidRPr="00EC29AD">
              <w:rPr>
                <w:rStyle w:val="Hyperlink"/>
                <w:noProof/>
              </w:rPr>
              <w:t>7. Schlussfolgerung: Die Notwendigkeit der Metadaten-Harmonisierung</w:t>
            </w:r>
            <w:r w:rsidR="007E015A">
              <w:rPr>
                <w:noProof/>
                <w:webHidden/>
              </w:rPr>
              <w:tab/>
            </w:r>
            <w:r w:rsidR="007E015A">
              <w:rPr>
                <w:noProof/>
                <w:webHidden/>
              </w:rPr>
              <w:fldChar w:fldCharType="begin"/>
            </w:r>
            <w:r w:rsidR="007E015A">
              <w:rPr>
                <w:noProof/>
                <w:webHidden/>
              </w:rPr>
              <w:instrText xml:space="preserve"> PAGEREF _Toc216791241 \h </w:instrText>
            </w:r>
            <w:r w:rsidR="007E015A">
              <w:rPr>
                <w:noProof/>
                <w:webHidden/>
              </w:rPr>
            </w:r>
            <w:r w:rsidR="007E015A">
              <w:rPr>
                <w:noProof/>
                <w:webHidden/>
              </w:rPr>
              <w:fldChar w:fldCharType="separate"/>
            </w:r>
            <w:r w:rsidR="007E015A">
              <w:rPr>
                <w:noProof/>
                <w:webHidden/>
              </w:rPr>
              <w:t>11</w:t>
            </w:r>
            <w:r w:rsidR="007E015A">
              <w:rPr>
                <w:noProof/>
                <w:webHidden/>
              </w:rPr>
              <w:fldChar w:fldCharType="end"/>
            </w:r>
          </w:hyperlink>
        </w:p>
        <w:p w14:paraId="57F33FB0" w14:textId="721C096A" w:rsidR="007E015A" w:rsidRDefault="00223D23">
          <w:pPr>
            <w:pStyle w:val="Verzeichnis2"/>
            <w:tabs>
              <w:tab w:val="right" w:leader="dot" w:pos="8680"/>
            </w:tabs>
            <w:rPr>
              <w:rFonts w:asciiTheme="minorHAnsi"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6791242" w:history="1">
            <w:r w:rsidR="007E015A" w:rsidRPr="00EC29AD">
              <w:rPr>
                <w:rStyle w:val="Hyperlink"/>
                <w:rFonts w:eastAsia="Georgia"/>
                <w:noProof/>
              </w:rPr>
              <w:t>7.1 Kritische Bedeutung f</w:t>
            </w:r>
            <w:r w:rsidR="007E015A" w:rsidRPr="00EC29AD">
              <w:rPr>
                <w:rStyle w:val="Hyperlink"/>
                <w:rFonts w:eastAsia="Georgia"/>
                <w:noProof/>
              </w:rPr>
              <w:t>ü</w:t>
            </w:r>
            <w:r w:rsidR="007E015A" w:rsidRPr="00EC29AD">
              <w:rPr>
                <w:rStyle w:val="Hyperlink"/>
                <w:rFonts w:eastAsia="Georgia"/>
                <w:noProof/>
              </w:rPr>
              <w:t>r die Zukunft</w:t>
            </w:r>
            <w:r w:rsidR="007E015A">
              <w:rPr>
                <w:noProof/>
                <w:webHidden/>
              </w:rPr>
              <w:tab/>
            </w:r>
            <w:r w:rsidR="007E015A">
              <w:rPr>
                <w:noProof/>
                <w:webHidden/>
              </w:rPr>
              <w:fldChar w:fldCharType="begin"/>
            </w:r>
            <w:r w:rsidR="007E015A">
              <w:rPr>
                <w:noProof/>
                <w:webHidden/>
              </w:rPr>
              <w:instrText xml:space="preserve"> PAGEREF _Toc216791242 \h </w:instrText>
            </w:r>
            <w:r w:rsidR="007E015A">
              <w:rPr>
                <w:noProof/>
                <w:webHidden/>
              </w:rPr>
            </w:r>
            <w:r w:rsidR="007E015A">
              <w:rPr>
                <w:noProof/>
                <w:webHidden/>
              </w:rPr>
              <w:fldChar w:fldCharType="separate"/>
            </w:r>
            <w:r w:rsidR="007E015A">
              <w:rPr>
                <w:noProof/>
                <w:webHidden/>
              </w:rPr>
              <w:t>11</w:t>
            </w:r>
            <w:r w:rsidR="007E015A">
              <w:rPr>
                <w:noProof/>
                <w:webHidden/>
              </w:rPr>
              <w:fldChar w:fldCharType="end"/>
            </w:r>
          </w:hyperlink>
        </w:p>
        <w:p w14:paraId="29DF1D61" w14:textId="70E616F9" w:rsidR="007E015A" w:rsidRDefault="00223D23">
          <w:pPr>
            <w:pStyle w:val="Verzeichnis2"/>
            <w:tabs>
              <w:tab w:val="right" w:leader="dot" w:pos="8680"/>
            </w:tabs>
            <w:rPr>
              <w:rFonts w:asciiTheme="minorHAnsi"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6791243" w:history="1">
            <w:r w:rsidR="007E015A" w:rsidRPr="00EC29AD">
              <w:rPr>
                <w:rStyle w:val="Hyperlink"/>
                <w:noProof/>
              </w:rPr>
              <w:t>7.2 Notwendigkeit einer institutionellen Verankerung</w:t>
            </w:r>
            <w:r w:rsidR="007E015A">
              <w:rPr>
                <w:noProof/>
                <w:webHidden/>
              </w:rPr>
              <w:tab/>
            </w:r>
            <w:r w:rsidR="007E015A">
              <w:rPr>
                <w:noProof/>
                <w:webHidden/>
              </w:rPr>
              <w:fldChar w:fldCharType="begin"/>
            </w:r>
            <w:r w:rsidR="007E015A">
              <w:rPr>
                <w:noProof/>
                <w:webHidden/>
              </w:rPr>
              <w:instrText xml:space="preserve"> PAGEREF _Toc216791243 \h </w:instrText>
            </w:r>
            <w:r w:rsidR="007E015A">
              <w:rPr>
                <w:noProof/>
                <w:webHidden/>
              </w:rPr>
            </w:r>
            <w:r w:rsidR="007E015A">
              <w:rPr>
                <w:noProof/>
                <w:webHidden/>
              </w:rPr>
              <w:fldChar w:fldCharType="separate"/>
            </w:r>
            <w:r w:rsidR="007E015A">
              <w:rPr>
                <w:noProof/>
                <w:webHidden/>
              </w:rPr>
              <w:t>12</w:t>
            </w:r>
            <w:r w:rsidR="007E015A">
              <w:rPr>
                <w:noProof/>
                <w:webHidden/>
              </w:rPr>
              <w:fldChar w:fldCharType="end"/>
            </w:r>
          </w:hyperlink>
        </w:p>
        <w:p w14:paraId="6F76CEED" w14:textId="4D8E071D" w:rsidR="007E015A" w:rsidRDefault="00223D23">
          <w:pPr>
            <w:pStyle w:val="Verzeichnis2"/>
            <w:tabs>
              <w:tab w:val="right" w:leader="dot" w:pos="8680"/>
            </w:tabs>
            <w:rPr>
              <w:rFonts w:asciiTheme="minorHAnsi"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16791244" w:history="1">
            <w:r w:rsidR="007E015A" w:rsidRPr="00EC29AD">
              <w:rPr>
                <w:rStyle w:val="Hyperlink"/>
                <w:noProof/>
              </w:rPr>
              <w:t>7.3 Ausblick</w:t>
            </w:r>
            <w:r w:rsidR="007E015A">
              <w:rPr>
                <w:noProof/>
                <w:webHidden/>
              </w:rPr>
              <w:tab/>
            </w:r>
            <w:r w:rsidR="007E015A">
              <w:rPr>
                <w:noProof/>
                <w:webHidden/>
              </w:rPr>
              <w:fldChar w:fldCharType="begin"/>
            </w:r>
            <w:r w:rsidR="007E015A">
              <w:rPr>
                <w:noProof/>
                <w:webHidden/>
              </w:rPr>
              <w:instrText xml:space="preserve"> PAGEREF _Toc216791244 \h </w:instrText>
            </w:r>
            <w:r w:rsidR="007E015A">
              <w:rPr>
                <w:noProof/>
                <w:webHidden/>
              </w:rPr>
            </w:r>
            <w:r w:rsidR="007E015A">
              <w:rPr>
                <w:noProof/>
                <w:webHidden/>
              </w:rPr>
              <w:fldChar w:fldCharType="separate"/>
            </w:r>
            <w:r w:rsidR="007E015A">
              <w:rPr>
                <w:noProof/>
                <w:webHidden/>
              </w:rPr>
              <w:t>12</w:t>
            </w:r>
            <w:r w:rsidR="007E015A">
              <w:rPr>
                <w:noProof/>
                <w:webHidden/>
              </w:rPr>
              <w:fldChar w:fldCharType="end"/>
            </w:r>
          </w:hyperlink>
        </w:p>
        <w:p w14:paraId="534637D1" w14:textId="3BED5F3F" w:rsidR="007E015A" w:rsidRDefault="007E015A">
          <w:r>
            <w:rPr>
              <w:b/>
              <w:bCs/>
            </w:rPr>
            <w:fldChar w:fldCharType="end"/>
          </w:r>
        </w:p>
      </w:sdtContent>
    </w:sdt>
    <w:p w14:paraId="61F4ADA6" w14:textId="2F75A686" w:rsidR="00335C99" w:rsidRDefault="00335C99">
      <w:pPr>
        <w:rPr>
          <w:b/>
          <w:sz w:val="42"/>
        </w:rPr>
      </w:pPr>
    </w:p>
    <w:p w14:paraId="0FAEAC36" w14:textId="77777777" w:rsidR="007E015A" w:rsidRDefault="007E015A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0560D945" w14:textId="42714D48" w:rsidR="0053547C" w:rsidRDefault="007E015A" w:rsidP="007E015A">
      <w:pPr>
        <w:pStyle w:val="berschrift1"/>
      </w:pPr>
      <w:bookmarkStart w:id="2" w:name="_Toc216791217"/>
      <w:r>
        <w:lastRenderedPageBreak/>
        <w:t>Einleitung</w:t>
      </w:r>
      <w:bookmarkEnd w:id="1"/>
      <w:bookmarkEnd w:id="2"/>
    </w:p>
    <w:p w14:paraId="3E612282" w14:textId="77777777" w:rsidR="007E015A" w:rsidRPr="007E015A" w:rsidRDefault="007E015A" w:rsidP="007E015A"/>
    <w:p w14:paraId="6F7BEFCD" w14:textId="64F89450" w:rsidR="0053547C" w:rsidRDefault="007E015A">
      <w:pPr>
        <w:spacing w:after="210"/>
      </w:pPr>
      <w:r>
        <w:rPr>
          <w:rFonts w:eastAsia="Georgia" w:hAnsi="Georgia" w:cs="Georgia"/>
        </w:rPr>
        <w:t xml:space="preserve">Der BioMed Metadata Workshop vom 3.–4. Dezember 2025 in Köln hat sich mit einer </w:t>
      </w:r>
      <w:r w:rsidR="004F025D">
        <w:rPr>
          <w:rFonts w:eastAsia="Georgia" w:hAnsi="Georgia" w:cs="Georgia"/>
        </w:rPr>
        <w:t xml:space="preserve">der </w:t>
      </w:r>
      <w:r>
        <w:rPr>
          <w:rFonts w:eastAsia="Georgia" w:hAnsi="Georgia" w:cs="Georgia"/>
        </w:rPr>
        <w:t xml:space="preserve"> Herausforderung der modernen Biowissenschaften auseinandergesetzt: der </w:t>
      </w:r>
      <w:r>
        <w:rPr>
          <w:b/>
        </w:rPr>
        <w:t>harmonisierten Verwaltung und Interoperabilit</w:t>
      </w:r>
      <w:r>
        <w:rPr>
          <w:b/>
        </w:rPr>
        <w:t>ä</w:t>
      </w:r>
      <w:r>
        <w:rPr>
          <w:b/>
        </w:rPr>
        <w:t>t von Metadaten</w:t>
      </w:r>
      <w:r>
        <w:rPr>
          <w:rFonts w:eastAsia="Georgia" w:hAnsi="Georgia" w:cs="Georgia"/>
        </w:rPr>
        <w:t xml:space="preserve"> über alle fünf Konsortien hinweg. Metadaten sind nicht bloße Beschreibungen oder Tags – sie bilden das </w:t>
      </w:r>
      <w:r>
        <w:rPr>
          <w:b/>
        </w:rPr>
        <w:t>Verbindungs</w:t>
      </w:r>
      <w:r w:rsidR="004F025D">
        <w:rPr>
          <w:b/>
        </w:rPr>
        <w:t>element</w:t>
      </w:r>
      <w:r>
        <w:rPr>
          <w:rFonts w:eastAsia="Georgia" w:hAnsi="Georgia" w:cs="Georgia"/>
        </w:rPr>
        <w:t>, das es unterschiedlichen Systemen ermöglicht, eine gemeinsame Sprache zu sprechen.</w:t>
      </w:r>
    </w:p>
    <w:p w14:paraId="67603E8A" w14:textId="77777777" w:rsidR="004F025D" w:rsidRDefault="007E015A">
      <w:pPr>
        <w:spacing w:after="210"/>
        <w:rPr>
          <w:rFonts w:eastAsia="Georgia" w:hAnsi="Georgia" w:cs="Georgia"/>
        </w:rPr>
      </w:pPr>
      <w:r>
        <w:rPr>
          <w:rFonts w:eastAsia="Georgia" w:hAnsi="Georgia" w:cs="Georgia"/>
        </w:rPr>
        <w:t>In einer Zeit, in der künstliche Intelligenz zunehmend an Bedeutung gewinnt und interdisziplinäre Zusammenarbeit über</w:t>
      </w:r>
      <w:r w:rsidR="004F025D">
        <w:rPr>
          <w:rFonts w:eastAsia="Georgia" w:hAnsi="Georgia" w:cs="Georgia"/>
        </w:rPr>
        <w:t xml:space="preserve"> Konsortien und</w:t>
      </w:r>
      <w:r>
        <w:rPr>
          <w:rFonts w:eastAsia="Georgia" w:hAnsi="Georgia" w:cs="Georgia"/>
        </w:rPr>
        <w:t xml:space="preserve"> Ländergrenzen hinweg notwendig ist, werden standardisierte und interoperable Metadaten zur Grundvoraussetzung für FAIR-konforme Forschungsdaten. Der vorliegende Bericht fasst die Diskussionen des Workshops zusammen und beantwortet vier zentrale Fragen: </w:t>
      </w:r>
    </w:p>
    <w:p w14:paraId="6DA959A2" w14:textId="77777777" w:rsidR="004F025D" w:rsidRPr="004F025D" w:rsidRDefault="007E015A" w:rsidP="004F025D">
      <w:pPr>
        <w:pStyle w:val="Listenabsatz"/>
        <w:numPr>
          <w:ilvl w:val="0"/>
          <w:numId w:val="36"/>
        </w:numPr>
        <w:spacing w:after="210"/>
        <w:rPr>
          <w:rFonts w:eastAsia="Georgia" w:hAnsi="Georgia" w:cs="Georgia"/>
        </w:rPr>
      </w:pPr>
      <w:r w:rsidRPr="004F025D">
        <w:rPr>
          <w:rFonts w:eastAsia="Georgia" w:hAnsi="Georgia" w:cs="Georgia"/>
        </w:rPr>
        <w:t xml:space="preserve">Wo kooperieren wir bereits? </w:t>
      </w:r>
    </w:p>
    <w:p w14:paraId="03070DEE" w14:textId="77777777" w:rsidR="004F025D" w:rsidRPr="004F025D" w:rsidRDefault="007E015A" w:rsidP="004F025D">
      <w:pPr>
        <w:pStyle w:val="Listenabsatz"/>
        <w:numPr>
          <w:ilvl w:val="0"/>
          <w:numId w:val="36"/>
        </w:numPr>
        <w:spacing w:after="210"/>
        <w:rPr>
          <w:rFonts w:eastAsia="Georgia" w:hAnsi="Georgia" w:cs="Georgia"/>
        </w:rPr>
      </w:pPr>
      <w:r w:rsidRPr="004F025D">
        <w:rPr>
          <w:rFonts w:eastAsia="Georgia" w:hAnsi="Georgia" w:cs="Georgia"/>
        </w:rPr>
        <w:t xml:space="preserve">Was ist der aktuelle Status? </w:t>
      </w:r>
    </w:p>
    <w:p w14:paraId="714E2B63" w14:textId="77777777" w:rsidR="004F025D" w:rsidRPr="004F025D" w:rsidRDefault="007E015A" w:rsidP="004F025D">
      <w:pPr>
        <w:pStyle w:val="Listenabsatz"/>
        <w:numPr>
          <w:ilvl w:val="0"/>
          <w:numId w:val="36"/>
        </w:numPr>
        <w:spacing w:after="210"/>
        <w:rPr>
          <w:rFonts w:eastAsia="Georgia" w:hAnsi="Georgia" w:cs="Georgia"/>
        </w:rPr>
      </w:pPr>
      <w:r w:rsidRPr="004F025D">
        <w:rPr>
          <w:rFonts w:eastAsia="Georgia" w:hAnsi="Georgia" w:cs="Georgia"/>
        </w:rPr>
        <w:t xml:space="preserve">Wo müssen wir mehr zusammenarbeiten? </w:t>
      </w:r>
    </w:p>
    <w:p w14:paraId="00AB6D1C" w14:textId="40AE1451" w:rsidR="0053547C" w:rsidRDefault="007E015A" w:rsidP="004F025D">
      <w:pPr>
        <w:pStyle w:val="Listenabsatz"/>
        <w:numPr>
          <w:ilvl w:val="0"/>
          <w:numId w:val="36"/>
        </w:numPr>
        <w:spacing w:after="210"/>
      </w:pPr>
      <w:r w:rsidRPr="004F025D">
        <w:rPr>
          <w:rFonts w:eastAsia="Georgia" w:hAnsi="Georgia" w:cs="Georgia"/>
        </w:rPr>
        <w:t>Und welcher konkrete Nutzen ergibt sich daraus?</w:t>
      </w:r>
    </w:p>
    <w:p w14:paraId="4B85725C" w14:textId="77777777" w:rsidR="0053547C" w:rsidRDefault="00223D23">
      <w:r>
        <w:rPr>
          <w:noProof/>
        </w:rPr>
        <w:pict w14:anchorId="4EEB8D4B">
          <v:rect id="_x0000_i1025" alt="" style="width:434.5pt;height:.05pt;mso-width-percent:0;mso-height-percent:0;mso-width-percent:0;mso-height-percent:0" o:hralign="center" o:hrstd="t" o:hr="t"/>
        </w:pict>
      </w:r>
    </w:p>
    <w:p w14:paraId="59810D30" w14:textId="77777777" w:rsidR="0053547C" w:rsidRDefault="007E015A" w:rsidP="007E015A">
      <w:pPr>
        <w:pStyle w:val="berschrift1"/>
      </w:pPr>
      <w:bookmarkStart w:id="3" w:name="bm_1_aktuelle_zusammenarbeit_und_790f9c"/>
      <w:bookmarkStart w:id="4" w:name="_Toc216791218"/>
      <w:r>
        <w:t>1. Aktuelle Zusammenarbeit und bestehende Infrastrukturen</w:t>
      </w:r>
      <w:bookmarkEnd w:id="3"/>
      <w:bookmarkEnd w:id="4"/>
    </w:p>
    <w:p w14:paraId="21C8E601" w14:textId="77777777" w:rsidR="007E015A" w:rsidRDefault="007E015A" w:rsidP="007E015A">
      <w:pPr>
        <w:pStyle w:val="berschrift2"/>
      </w:pPr>
      <w:bookmarkStart w:id="5" w:name="bm_1_1_bereits_etablierte_koopera_6b9c16"/>
    </w:p>
    <w:p w14:paraId="46E3C09B" w14:textId="7A18BAF3" w:rsidR="0053547C" w:rsidRDefault="007E015A" w:rsidP="007E015A">
      <w:pPr>
        <w:pStyle w:val="berschrift2"/>
      </w:pPr>
      <w:bookmarkStart w:id="6" w:name="_Toc216791219"/>
      <w:r>
        <w:t>1.1 Bereits etablierte Kooperationen im BioMed-Konsortium</w:t>
      </w:r>
      <w:bookmarkEnd w:id="5"/>
      <w:bookmarkEnd w:id="6"/>
    </w:p>
    <w:p w14:paraId="4B4D611F" w14:textId="77777777" w:rsidR="007E015A" w:rsidRDefault="007E015A">
      <w:pPr>
        <w:spacing w:after="210"/>
        <w:rPr>
          <w:rFonts w:eastAsia="Georgia" w:hAnsi="Georgia" w:cs="Georgia"/>
        </w:rPr>
      </w:pPr>
    </w:p>
    <w:p w14:paraId="2A60CFCE" w14:textId="332C733B" w:rsidR="0053547C" w:rsidRDefault="007E015A">
      <w:pPr>
        <w:spacing w:after="210"/>
      </w:pPr>
      <w:r>
        <w:rPr>
          <w:rFonts w:eastAsia="Georgia" w:hAnsi="Georgia" w:cs="Georgia"/>
        </w:rPr>
        <w:t>Das BioMed-Konsortium hat bereits strukturierte Kooperationsmechanismen für Metadaten-Interoperabilität etabliert:</w:t>
      </w:r>
    </w:p>
    <w:p w14:paraId="5F10CEFA" w14:textId="77777777" w:rsidR="0053547C" w:rsidRDefault="007E015A">
      <w:pPr>
        <w:spacing w:after="210"/>
      </w:pPr>
      <w:r>
        <w:rPr>
          <w:b/>
        </w:rPr>
        <w:t>Formalisierte Struktur:</w:t>
      </w:r>
    </w:p>
    <w:p w14:paraId="22E12F0E" w14:textId="441AF3D5" w:rsidR="0053547C" w:rsidRDefault="007E015A">
      <w:pPr>
        <w:numPr>
          <w:ilvl w:val="0"/>
          <w:numId w:val="1"/>
        </w:numPr>
      </w:pPr>
      <w:r>
        <w:t xml:space="preserve">Die </w:t>
      </w:r>
      <w:r>
        <w:rPr>
          <w:b/>
        </w:rPr>
        <w:t>BioMed Metadata Interoperability Group</w:t>
      </w:r>
      <w:r>
        <w:rPr>
          <w:rFonts w:eastAsia="Georgia" w:hAnsi="Georgia" w:cs="Georgia"/>
        </w:rPr>
        <w:t xml:space="preserve"> wurde 2024 gegründet und trifft sich monatlich </w:t>
      </w:r>
      <w:r w:rsidR="004F025D">
        <w:rPr>
          <w:rFonts w:eastAsia="Georgia" w:hAnsi="Georgia" w:cs="Georgia"/>
        </w:rPr>
        <w:t xml:space="preserve">(mit Unterbrechungen) </w:t>
      </w:r>
      <w:r>
        <w:rPr>
          <w:rFonts w:eastAsia="Georgia" w:hAnsi="Georgia" w:cs="Georgia"/>
        </w:rPr>
        <w:t>in Online-Sitzungen</w:t>
      </w:r>
    </w:p>
    <w:p w14:paraId="33D6E495" w14:textId="4179CFC3" w:rsidR="0053547C" w:rsidRDefault="007E015A">
      <w:pPr>
        <w:numPr>
          <w:ilvl w:val="0"/>
          <w:numId w:val="1"/>
        </w:numPr>
      </w:pPr>
      <w:r>
        <w:rPr>
          <w:rFonts w:eastAsia="Georgia" w:hAnsi="Georgia" w:cs="Georgia"/>
        </w:rPr>
        <w:t>Jährlich ist ein persönliches Treffen (</w:t>
      </w:r>
      <w:r w:rsidR="00554AF0">
        <w:rPr>
          <w:rFonts w:eastAsia="Georgia" w:hAnsi="Georgia" w:cs="Georgia"/>
        </w:rPr>
        <w:t>zusätzlich zum</w:t>
      </w:r>
      <w:r>
        <w:rPr>
          <w:rFonts w:eastAsia="Georgia" w:hAnsi="Georgia" w:cs="Georgia"/>
        </w:rPr>
        <w:t xml:space="preserve"> BioMed-Meeting) geplant</w:t>
      </w:r>
    </w:p>
    <w:p w14:paraId="560C0052" w14:textId="6A66D00B" w:rsidR="0053547C" w:rsidRDefault="007E015A">
      <w:pPr>
        <w:numPr>
          <w:ilvl w:val="0"/>
          <w:numId w:val="1"/>
        </w:numPr>
      </w:pPr>
      <w:r>
        <w:rPr>
          <w:rFonts w:eastAsia="Georgia" w:hAnsi="Georgia" w:cs="Georgia"/>
        </w:rPr>
        <w:t>Kontaktperson: Sebastian Böhm</w:t>
      </w:r>
      <w:r w:rsidR="004F025D">
        <w:rPr>
          <w:rFonts w:eastAsia="Georgia" w:hAnsi="Georgia" w:cs="Georgia"/>
        </w:rPr>
        <w:t xml:space="preserve"> (NFDI4Immuno)</w:t>
      </w:r>
    </w:p>
    <w:p w14:paraId="25751B9D" w14:textId="77777777" w:rsidR="0053547C" w:rsidRDefault="007E015A">
      <w:pPr>
        <w:numPr>
          <w:ilvl w:val="0"/>
          <w:numId w:val="1"/>
        </w:numPr>
      </w:pPr>
      <w:r>
        <w:rPr>
          <w:rFonts w:eastAsia="Georgia" w:hAnsi="Georgia" w:cs="Georgia"/>
        </w:rPr>
        <w:t>Das Gremium dient als zentrale Koordinierungsstelle für alle Konsortien-übergreifenden Metadaten-Fragen</w:t>
      </w:r>
    </w:p>
    <w:p w14:paraId="18B11700" w14:textId="77777777" w:rsidR="0053547C" w:rsidRDefault="007E015A">
      <w:pPr>
        <w:spacing w:after="210"/>
      </w:pPr>
      <w:r>
        <w:rPr>
          <w:b/>
        </w:rPr>
        <w:t>Beteiligte Konsortien:</w:t>
      </w:r>
    </w:p>
    <w:p w14:paraId="5CCC20FB" w14:textId="77777777" w:rsidR="0053547C" w:rsidRDefault="007E015A">
      <w:pPr>
        <w:spacing w:after="210"/>
      </w:pPr>
      <w:r>
        <w:rPr>
          <w:rFonts w:eastAsia="Georgia" w:hAnsi="Georgia" w:cs="Georgia"/>
        </w:rPr>
        <w:t>Die fünf Konsortien des BioMed-Verbunds mit ihren jeweiligen Schwerpunkten sind:</w:t>
      </w:r>
    </w:p>
    <w:p w14:paraId="1E1A300D" w14:textId="77777777" w:rsidR="0053547C" w:rsidRDefault="007E015A">
      <w:pPr>
        <w:numPr>
          <w:ilvl w:val="0"/>
          <w:numId w:val="2"/>
        </w:numPr>
      </w:pPr>
      <w:r>
        <w:rPr>
          <w:b/>
        </w:rPr>
        <w:t>NFDI4Health</w:t>
      </w:r>
      <w:r>
        <w:t>: Schwerpunkt auf klinische und epidemiologische Daten</w:t>
      </w:r>
    </w:p>
    <w:p w14:paraId="6DB227A7" w14:textId="77777777" w:rsidR="0053547C" w:rsidRDefault="007E015A">
      <w:pPr>
        <w:numPr>
          <w:ilvl w:val="0"/>
          <w:numId w:val="2"/>
        </w:numPr>
      </w:pPr>
      <w:r>
        <w:rPr>
          <w:b/>
        </w:rPr>
        <w:t>GHGA</w:t>
      </w:r>
      <w:r>
        <w:rPr>
          <w:rFonts w:eastAsia="Georgia" w:hAnsi="Georgia" w:cs="Georgia"/>
        </w:rPr>
        <w:t xml:space="preserve"> (German Human Genome-Phenome Archive): Genomik und Phänotypisierung</w:t>
      </w:r>
    </w:p>
    <w:p w14:paraId="66A83610" w14:textId="77777777" w:rsidR="0053547C" w:rsidRDefault="007E015A">
      <w:pPr>
        <w:numPr>
          <w:ilvl w:val="0"/>
          <w:numId w:val="2"/>
        </w:numPr>
      </w:pPr>
      <w:r>
        <w:rPr>
          <w:b/>
        </w:rPr>
        <w:t>NFDI4Immuno</w:t>
      </w:r>
      <w:r>
        <w:t>: Immunologische Forschungsdaten</w:t>
      </w:r>
    </w:p>
    <w:p w14:paraId="5E2F0284" w14:textId="77777777" w:rsidR="0053547C" w:rsidRDefault="007E015A">
      <w:pPr>
        <w:numPr>
          <w:ilvl w:val="0"/>
          <w:numId w:val="2"/>
        </w:numPr>
      </w:pPr>
      <w:r>
        <w:rPr>
          <w:b/>
        </w:rPr>
        <w:t>NFDI4Microbiota</w:t>
      </w:r>
      <w:r>
        <w:t>: Mikrobiom-Forschung</w:t>
      </w:r>
    </w:p>
    <w:p w14:paraId="4C8061B6" w14:textId="09D96F8B" w:rsidR="0053547C" w:rsidRDefault="007E015A" w:rsidP="004F025D">
      <w:pPr>
        <w:numPr>
          <w:ilvl w:val="0"/>
          <w:numId w:val="2"/>
        </w:numPr>
        <w:jc w:val="both"/>
      </w:pPr>
      <w:r w:rsidRPr="004F025D">
        <w:rPr>
          <w:b/>
          <w:bCs/>
        </w:rPr>
        <w:lastRenderedPageBreak/>
        <w:t>NFDI4BIOIMAGE</w:t>
      </w:r>
      <w:r>
        <w:t>: Bildgebungsdaten und mikroskopische Aufnahmen</w:t>
      </w:r>
    </w:p>
    <w:p w14:paraId="74316233" w14:textId="77777777" w:rsidR="0053547C" w:rsidRDefault="007E015A" w:rsidP="007E015A">
      <w:pPr>
        <w:pStyle w:val="berschrift2"/>
      </w:pPr>
      <w:bookmarkStart w:id="7" w:name="bm_1_2_internationale_kooperation_29c608"/>
      <w:bookmarkStart w:id="8" w:name="_Toc216791220"/>
      <w:r>
        <w:t>1.2 Internationale Kooperationen und Standards-Alignment</w:t>
      </w:r>
      <w:bookmarkEnd w:id="7"/>
      <w:bookmarkEnd w:id="8"/>
    </w:p>
    <w:p w14:paraId="5C5CBC2A" w14:textId="77777777" w:rsidR="007E015A" w:rsidRPr="007E015A" w:rsidRDefault="007E015A" w:rsidP="007E015A"/>
    <w:p w14:paraId="25912BA0" w14:textId="77777777" w:rsidR="0053547C" w:rsidRDefault="007E015A">
      <w:pPr>
        <w:spacing w:after="210"/>
      </w:pPr>
      <w:r>
        <w:t>Neben der internen Zusammenarbeit arbeiten die BioMed-Konsortien aktiv mit internationalen Standards- und Dateninitivativen zusammen:</w:t>
      </w:r>
    </w:p>
    <w:p w14:paraId="4D435E95" w14:textId="77777777" w:rsidR="0053547C" w:rsidRDefault="007E015A">
      <w:pPr>
        <w:spacing w:after="210"/>
      </w:pPr>
      <w:r>
        <w:rPr>
          <w:b/>
        </w:rPr>
        <w:t>Internationale Standardisierungsinitiativen:</w:t>
      </w:r>
    </w:p>
    <w:p w14:paraId="2C906295" w14:textId="77777777" w:rsidR="0053547C" w:rsidRDefault="007E015A">
      <w:pPr>
        <w:numPr>
          <w:ilvl w:val="0"/>
          <w:numId w:val="3"/>
        </w:numPr>
      </w:pPr>
      <w:r>
        <w:rPr>
          <w:b/>
        </w:rPr>
        <w:t>Genomics Standards Consortium (GSC)</w:t>
      </w:r>
      <w:r>
        <w:rPr>
          <w:rFonts w:eastAsia="Georgia" w:hAnsi="Georgia" w:cs="Georgia"/>
        </w:rPr>
        <w:t>: Die Konsortien orientieren sich an minimalen Metadaten-Standards wie MixS und MIMAG für Sequenzierungsdaten</w:t>
      </w:r>
    </w:p>
    <w:p w14:paraId="3A22A98C" w14:textId="77777777" w:rsidR="0053547C" w:rsidRDefault="007E015A">
      <w:pPr>
        <w:numPr>
          <w:ilvl w:val="0"/>
          <w:numId w:val="3"/>
        </w:numPr>
      </w:pPr>
      <w:r>
        <w:rPr>
          <w:b/>
        </w:rPr>
        <w:t>EMBL-EBI und European Nucleotide Archive (ENA)</w:t>
      </w:r>
      <w:r>
        <w:rPr>
          <w:rFonts w:eastAsia="Georgia" w:hAnsi="Georgia" w:cs="Georgia"/>
        </w:rPr>
        <w:t>: Zusammenarbeit bezüglich genomischer Datenstandards</w:t>
      </w:r>
    </w:p>
    <w:p w14:paraId="5ECF3B45" w14:textId="77777777" w:rsidR="0053547C" w:rsidRDefault="007E015A">
      <w:pPr>
        <w:numPr>
          <w:ilvl w:val="0"/>
          <w:numId w:val="3"/>
        </w:numPr>
      </w:pPr>
      <w:r>
        <w:rPr>
          <w:b/>
        </w:rPr>
        <w:t>HL7 und FHIR-Standard</w:t>
      </w:r>
      <w:r>
        <w:t>: NFDI4Health arbeitet mit internationalen Health-Standards-Organisationen zusammen</w:t>
      </w:r>
    </w:p>
    <w:p w14:paraId="4F21B6FC" w14:textId="77777777" w:rsidR="0053547C" w:rsidRDefault="007E015A">
      <w:pPr>
        <w:numPr>
          <w:ilvl w:val="0"/>
          <w:numId w:val="3"/>
        </w:numPr>
      </w:pPr>
      <w:r>
        <w:rPr>
          <w:b/>
        </w:rPr>
        <w:t>Open Microscopy Environment (OME)</w:t>
      </w:r>
      <w:r>
        <w:rPr>
          <w:rFonts w:eastAsia="Georgia" w:hAnsi="Georgia" w:cs="Georgia"/>
        </w:rPr>
        <w:t>: NFDI4BIOIMAGE trägt zu etablierten Standards für Bildgebung bei</w:t>
      </w:r>
    </w:p>
    <w:p w14:paraId="5B75B11F" w14:textId="77777777" w:rsidR="0053547C" w:rsidRDefault="007E015A">
      <w:pPr>
        <w:numPr>
          <w:ilvl w:val="0"/>
          <w:numId w:val="3"/>
        </w:numPr>
      </w:pPr>
      <w:r>
        <w:rPr>
          <w:b/>
        </w:rPr>
        <w:t>Federated European Genome-Phenome Archive (FEGA) und European Genomic Data Infrastructure (GDI)</w:t>
      </w:r>
      <w:r>
        <w:rPr>
          <w:rFonts w:eastAsia="Georgia" w:hAnsi="Georgia" w:cs="Georgia"/>
        </w:rPr>
        <w:t>: Europäische Vernetzung von Datenarchiven</w:t>
      </w:r>
    </w:p>
    <w:p w14:paraId="4D18C85B" w14:textId="77777777" w:rsidR="0053547C" w:rsidRDefault="007E015A">
      <w:pPr>
        <w:numPr>
          <w:ilvl w:val="0"/>
          <w:numId w:val="3"/>
        </w:numPr>
      </w:pPr>
      <w:r>
        <w:rPr>
          <w:b/>
        </w:rPr>
        <w:t>NAKO und genomDE</w:t>
      </w:r>
      <w:r>
        <w:t>: Deutsche Modellvorhaben zur Erweiterung bestehender Standards</w:t>
      </w:r>
    </w:p>
    <w:p w14:paraId="4ACB1995" w14:textId="77777777" w:rsidR="0053547C" w:rsidRDefault="007E015A">
      <w:pPr>
        <w:spacing w:after="210"/>
      </w:pPr>
      <w:r>
        <w:rPr>
          <w:b/>
        </w:rPr>
        <w:t>Kooperation mit NFDI-Basisservices:</w:t>
      </w:r>
    </w:p>
    <w:p w14:paraId="6CA150C1" w14:textId="77777777" w:rsidR="0053547C" w:rsidRDefault="007E015A">
      <w:pPr>
        <w:numPr>
          <w:ilvl w:val="0"/>
          <w:numId w:val="4"/>
        </w:numPr>
      </w:pPr>
      <w:r>
        <w:rPr>
          <w:b/>
        </w:rPr>
        <w:t>TS4NFDI / Immuno</w:t>
      </w:r>
      <w:r>
        <w:t>: Einbindung standardisierter Ontologie-Services</w:t>
      </w:r>
    </w:p>
    <w:p w14:paraId="03A3DDF9" w14:textId="77777777" w:rsidR="0053547C" w:rsidRDefault="007E015A">
      <w:pPr>
        <w:numPr>
          <w:ilvl w:val="0"/>
          <w:numId w:val="4"/>
        </w:numPr>
      </w:pPr>
      <w:r>
        <w:rPr>
          <w:b/>
        </w:rPr>
        <w:t>Gemeinsamer Container</w:t>
      </w:r>
      <w:r>
        <w:t>: Geplanter Start eines gemeinsamen Infrastruktur-Containers zwischen den Konsortien</w:t>
      </w:r>
    </w:p>
    <w:p w14:paraId="408755A0" w14:textId="77777777" w:rsidR="0053547C" w:rsidRDefault="007E015A">
      <w:pPr>
        <w:numPr>
          <w:ilvl w:val="0"/>
          <w:numId w:val="4"/>
        </w:numPr>
      </w:pPr>
      <w:r>
        <w:rPr>
          <w:b/>
        </w:rPr>
        <w:t>PID (Persistent Identifier)</w:t>
      </w:r>
      <w:r>
        <w:t>: Integration von persistenten Identifiern (Microbiota)</w:t>
      </w:r>
    </w:p>
    <w:p w14:paraId="22ECAF7F" w14:textId="77777777" w:rsidR="0053547C" w:rsidRDefault="007E015A">
      <w:pPr>
        <w:numPr>
          <w:ilvl w:val="0"/>
          <w:numId w:val="4"/>
        </w:numPr>
      </w:pPr>
      <w:r>
        <w:rPr>
          <w:b/>
        </w:rPr>
        <w:t>IAM4NFDI</w:t>
      </w:r>
      <w:r>
        <w:rPr>
          <w:rFonts w:eastAsia="Georgia" w:hAnsi="Georgia" w:cs="Georgia"/>
        </w:rPr>
        <w:t>: Identitäts- und Zugriffsverwaltung (Microbiota)</w:t>
      </w:r>
    </w:p>
    <w:p w14:paraId="6D1562D7" w14:textId="77777777" w:rsidR="0053547C" w:rsidRDefault="007E015A">
      <w:pPr>
        <w:numPr>
          <w:ilvl w:val="0"/>
          <w:numId w:val="4"/>
        </w:numPr>
      </w:pPr>
      <w:r>
        <w:rPr>
          <w:b/>
        </w:rPr>
        <w:t>DMP4NFDI</w:t>
      </w:r>
      <w:r>
        <w:rPr>
          <w:rFonts w:eastAsia="Georgia" w:hAnsi="Georgia" w:cs="Georgia"/>
        </w:rPr>
        <w:t>: Erstellung von Datenmanagemementplänen speziell für Bilddaten (Microbiota, BioImage)</w:t>
      </w:r>
    </w:p>
    <w:p w14:paraId="687DCBC9" w14:textId="77777777" w:rsidR="0053547C" w:rsidRDefault="00223D23">
      <w:r>
        <w:rPr>
          <w:noProof/>
        </w:rPr>
        <w:pict w14:anchorId="3D9843CC">
          <v:rect id="_x0000_i1026" alt="" style="width:434.5pt;height:.05pt;mso-width-percent:0;mso-height-percent:0;mso-width-percent:0;mso-height-percent:0" o:hralign="center" o:hrstd="t" o:hr="t"/>
        </w:pict>
      </w:r>
    </w:p>
    <w:p w14:paraId="3CFFDD9F" w14:textId="77777777" w:rsidR="0053547C" w:rsidRDefault="007E015A" w:rsidP="007E015A">
      <w:pPr>
        <w:pStyle w:val="berschrift1"/>
      </w:pPr>
      <w:bookmarkStart w:id="9" w:name="bm_2_aktueller_status_metadaten_h_80711c"/>
      <w:bookmarkStart w:id="10" w:name="_Toc216791221"/>
      <w:r>
        <w:t>2. Aktueller Status: Metadaten-Handling in den einzelnen Konsortien</w:t>
      </w:r>
      <w:bookmarkEnd w:id="9"/>
      <w:bookmarkEnd w:id="10"/>
    </w:p>
    <w:p w14:paraId="5922B44F" w14:textId="77777777" w:rsidR="007E015A" w:rsidRPr="007E015A" w:rsidRDefault="007E015A" w:rsidP="007E015A"/>
    <w:p w14:paraId="3EE6036A" w14:textId="77777777" w:rsidR="0053547C" w:rsidRDefault="007E015A" w:rsidP="007E015A">
      <w:pPr>
        <w:pStyle w:val="berschrift2"/>
      </w:pPr>
      <w:bookmarkStart w:id="11" w:name="bm_2_1_überblick_der_metadaten_er_1548f2"/>
      <w:bookmarkStart w:id="12" w:name="_Toc216791222"/>
      <w:r>
        <w:rPr>
          <w:rFonts w:eastAsia="Georgia"/>
        </w:rPr>
        <w:t>2.1 Überblick der Metadaten-Erfassung und Standards</w:t>
      </w:r>
      <w:bookmarkEnd w:id="11"/>
      <w:bookmarkEnd w:id="12"/>
    </w:p>
    <w:p w14:paraId="04964139" w14:textId="77777777" w:rsidR="007E015A" w:rsidRDefault="007E015A">
      <w:pPr>
        <w:spacing w:after="210"/>
        <w:rPr>
          <w:rFonts w:eastAsia="Georgia" w:hAnsi="Georgia" w:cs="Georgia"/>
        </w:rPr>
      </w:pPr>
    </w:p>
    <w:p w14:paraId="191DCD81" w14:textId="236C160A" w:rsidR="0053547C" w:rsidRDefault="007E015A">
      <w:pPr>
        <w:spacing w:after="210"/>
      </w:pPr>
      <w:r>
        <w:rPr>
          <w:rFonts w:eastAsia="Georgia" w:hAnsi="Georgia" w:cs="Georgia"/>
        </w:rPr>
        <w:t>Die fünf Konsortien verfügen über heterogene Metadaten-Strukturen und -Standards, die zu erheblicher Komplexität bei der Harmonisierung führen:</w:t>
      </w:r>
    </w:p>
    <w:tbl>
      <w:tblPr>
        <w:tblStyle w:val="NormalGrid"/>
        <w:tblW w:w="9204" w:type="dxa"/>
        <w:jc w:val="center"/>
        <w:tblCellSpacing w:w="0" w:type="dxa"/>
        <w:tblLook w:val="04A0" w:firstRow="1" w:lastRow="0" w:firstColumn="1" w:lastColumn="0" w:noHBand="0" w:noVBand="1"/>
      </w:tblPr>
      <w:tblGrid>
        <w:gridCol w:w="1779"/>
        <w:gridCol w:w="1844"/>
        <w:gridCol w:w="1792"/>
        <w:gridCol w:w="1456"/>
        <w:gridCol w:w="1536"/>
        <w:gridCol w:w="1380"/>
      </w:tblGrid>
      <w:tr w:rsidR="004F025D" w14:paraId="1A9AB499" w14:textId="77777777" w:rsidTr="004F025D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19918" w14:textId="77777777" w:rsidR="0053547C" w:rsidRDefault="007E015A">
            <w:r>
              <w:rPr>
                <w:b/>
              </w:rPr>
              <w:t>Aspekt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AEF47" w14:textId="6C714B02" w:rsidR="0053547C" w:rsidRDefault="007E015A">
            <w:pPr>
              <w:jc w:val="center"/>
            </w:pPr>
            <w:r>
              <w:rPr>
                <w:b/>
              </w:rPr>
              <w:t>Health</w:t>
            </w:r>
          </w:p>
        </w:tc>
        <w:tc>
          <w:tcPr>
            <w:tcW w:w="1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A7485" w14:textId="77777777" w:rsidR="0053547C" w:rsidRDefault="007E015A">
            <w:pPr>
              <w:jc w:val="center"/>
            </w:pPr>
            <w:r>
              <w:rPr>
                <w:b/>
              </w:rPr>
              <w:t>GHGA</w:t>
            </w:r>
          </w:p>
        </w:tc>
        <w:tc>
          <w:tcPr>
            <w:tcW w:w="12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50A94" w14:textId="748EC997" w:rsidR="0053547C" w:rsidRDefault="007E015A">
            <w:pPr>
              <w:jc w:val="center"/>
            </w:pPr>
            <w:r>
              <w:rPr>
                <w:b/>
              </w:rPr>
              <w:t>Immuno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8397C6" w14:textId="754153E1" w:rsidR="0053547C" w:rsidRDefault="007E015A">
            <w:pPr>
              <w:jc w:val="center"/>
            </w:pPr>
            <w:r>
              <w:rPr>
                <w:b/>
              </w:rPr>
              <w:t>Microbiota</w:t>
            </w:r>
          </w:p>
        </w:tc>
        <w:tc>
          <w:tcPr>
            <w:tcW w:w="17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624FC3" w14:textId="77777777" w:rsidR="0053547C" w:rsidRDefault="007E015A">
            <w:pPr>
              <w:jc w:val="center"/>
            </w:pPr>
            <w:r>
              <w:rPr>
                <w:b/>
              </w:rPr>
              <w:t>BioImage</w:t>
            </w:r>
          </w:p>
        </w:tc>
      </w:tr>
      <w:tr w:rsidR="004F025D" w14:paraId="14F37E1B" w14:textId="77777777" w:rsidTr="004F025D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F135F" w14:textId="77777777" w:rsidR="0053547C" w:rsidRDefault="007E015A">
            <w:r>
              <w:t>Metadaten erfasst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966E96C" w14:textId="77777777" w:rsidR="0053547C" w:rsidRDefault="007E015A">
            <w:pPr>
              <w:jc w:val="center"/>
            </w:pPr>
            <w:r>
              <w:t>Ja</w:t>
            </w: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C1599C4" w14:textId="77777777" w:rsidR="0053547C" w:rsidRDefault="007E015A">
            <w:pPr>
              <w:jc w:val="center"/>
            </w:pPr>
            <w:r>
              <w:t>Ja</w:t>
            </w:r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3B8E3A0" w14:textId="77777777" w:rsidR="0053547C" w:rsidRDefault="007E015A">
            <w:pPr>
              <w:jc w:val="center"/>
            </w:pPr>
            <w:r>
              <w:t>Ja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701287F" w14:textId="77777777" w:rsidR="0053547C" w:rsidRDefault="007E015A">
            <w:pPr>
              <w:jc w:val="center"/>
            </w:pPr>
            <w:r>
              <w:t>Nein</w:t>
            </w:r>
          </w:p>
        </w:tc>
        <w:tc>
          <w:tcPr>
            <w:tcW w:w="17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27B72E4" w14:textId="77777777" w:rsidR="0053547C" w:rsidRDefault="007E015A">
            <w:pPr>
              <w:jc w:val="center"/>
            </w:pPr>
            <w:r>
              <w:t>Ja</w:t>
            </w:r>
          </w:p>
        </w:tc>
      </w:tr>
      <w:tr w:rsidR="004F025D" w14:paraId="502C2CAB" w14:textId="77777777" w:rsidTr="004F025D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98D27" w14:textId="77777777" w:rsidR="0053547C" w:rsidRDefault="007E015A">
            <w:r>
              <w:lastRenderedPageBreak/>
              <w:t>Experimentelle Standards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6E8E59D" w14:textId="77777777" w:rsidR="0053547C" w:rsidRPr="004F025D" w:rsidRDefault="007E015A">
            <w:pPr>
              <w:jc w:val="center"/>
              <w:rPr>
                <w:lang w:val="en-GB"/>
              </w:rPr>
            </w:pPr>
            <w:r w:rsidRPr="004F025D">
              <w:rPr>
                <w:lang w:val="en-GB"/>
              </w:rPr>
              <w:t>Resources for Clinical, Public Health &amp; Epidemiological Studies</w:t>
            </w: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FBD86B6" w14:textId="77777777" w:rsidR="0053547C" w:rsidRDefault="007E015A">
            <w:pPr>
              <w:jc w:val="center"/>
            </w:pPr>
            <w:r>
              <w:t>MINSEQE, minSCe</w:t>
            </w:r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4E5C351" w14:textId="77777777" w:rsidR="0053547C" w:rsidRDefault="007E015A">
            <w:pPr>
              <w:jc w:val="center"/>
            </w:pPr>
            <w:r>
              <w:t>AIRR, CytoFlow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D82D40A" w14:textId="77777777" w:rsidR="0053547C" w:rsidRDefault="007E015A">
            <w:pPr>
              <w:jc w:val="center"/>
            </w:pPr>
            <w:r>
              <w:t>MixS</w:t>
            </w:r>
          </w:p>
        </w:tc>
        <w:tc>
          <w:tcPr>
            <w:tcW w:w="17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F0D66C3" w14:textId="77777777" w:rsidR="0053547C" w:rsidRDefault="007E015A">
            <w:pPr>
              <w:jc w:val="center"/>
            </w:pPr>
            <w:r>
              <w:t>REMBI</w:t>
            </w:r>
          </w:p>
        </w:tc>
      </w:tr>
      <w:tr w:rsidR="004F025D" w14:paraId="2A70A161" w14:textId="77777777" w:rsidTr="004F025D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A7031" w14:textId="77777777" w:rsidR="0053547C" w:rsidRDefault="007E015A">
            <w:r>
              <w:t>HealthDCAT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06EDA00" w14:textId="77777777" w:rsidR="0053547C" w:rsidRDefault="007E015A">
            <w:pPr>
              <w:jc w:val="center"/>
            </w:pPr>
            <w:r>
              <w:t>Ja</w:t>
            </w: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7ADEF72" w14:textId="77777777" w:rsidR="0053547C" w:rsidRDefault="007E015A">
            <w:pPr>
              <w:jc w:val="center"/>
            </w:pPr>
            <w:r>
              <w:t>Teilweise in Planung</w:t>
            </w:r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6C799CB" w14:textId="77777777" w:rsidR="0053547C" w:rsidRDefault="007E015A">
            <w:pPr>
              <w:jc w:val="center"/>
            </w:pPr>
            <w:r>
              <w:t>In Planung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263CF20" w14:textId="77777777" w:rsidR="0053547C" w:rsidRDefault="007E015A">
            <w:pPr>
              <w:jc w:val="center"/>
            </w:pPr>
            <w:r>
              <w:t>Nein</w:t>
            </w:r>
          </w:p>
        </w:tc>
        <w:tc>
          <w:tcPr>
            <w:tcW w:w="17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A0DB1F3" w14:textId="77777777" w:rsidR="0053547C" w:rsidRDefault="007E015A">
            <w:pPr>
              <w:jc w:val="center"/>
            </w:pPr>
            <w:r>
              <w:t>Nein</w:t>
            </w:r>
          </w:p>
        </w:tc>
      </w:tr>
      <w:tr w:rsidR="004F025D" w14:paraId="0F3DEB55" w14:textId="77777777" w:rsidTr="004F025D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BC182" w14:textId="77777777" w:rsidR="0053547C" w:rsidRDefault="007E015A">
            <w:r>
              <w:t>FHIR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86B65B5" w14:textId="77777777" w:rsidR="0053547C" w:rsidRDefault="007E015A">
            <w:pPr>
              <w:jc w:val="center"/>
            </w:pPr>
            <w:r>
              <w:t>Ja</w:t>
            </w: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B297D2F" w14:textId="77777777" w:rsidR="0053547C" w:rsidRDefault="007E015A">
            <w:pPr>
              <w:jc w:val="center"/>
            </w:pPr>
            <w:r>
              <w:rPr>
                <w:rFonts w:eastAsia="Georgia" w:hAnsi="Georgia" w:cs="Georgia"/>
              </w:rPr>
              <w:t>Möglicherweise für Genomik-Paket</w:t>
            </w:r>
          </w:p>
        </w:tc>
        <w:tc>
          <w:tcPr>
            <w:tcW w:w="121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1B46943" w14:textId="5366A66D" w:rsidR="0053547C" w:rsidRDefault="004F025D">
            <w:pPr>
              <w:jc w:val="center"/>
            </w:pPr>
            <w:r>
              <w:t>Noch nicht entschieden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1370C79" w14:textId="77777777" w:rsidR="0053547C" w:rsidRDefault="007E015A">
            <w:pPr>
              <w:jc w:val="center"/>
            </w:pPr>
            <w:r>
              <w:t>Nein</w:t>
            </w:r>
          </w:p>
        </w:tc>
        <w:tc>
          <w:tcPr>
            <w:tcW w:w="177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7E675B1" w14:textId="77777777" w:rsidR="0053547C" w:rsidRDefault="007E015A">
            <w:pPr>
              <w:jc w:val="center"/>
            </w:pPr>
            <w:r>
              <w:t>Nein</w:t>
            </w:r>
          </w:p>
        </w:tc>
      </w:tr>
    </w:tbl>
    <w:p w14:paraId="5579E229" w14:textId="77777777" w:rsidR="0053547C" w:rsidRDefault="0053547C"/>
    <w:p w14:paraId="3FE62745" w14:textId="77777777" w:rsidR="0053547C" w:rsidRDefault="007E015A">
      <w:r>
        <w:rPr>
          <w:rFonts w:eastAsia="Georgia" w:hAnsi="Georgia" w:cs="Georgia"/>
        </w:rPr>
        <w:t>Table 1: Übersicht der Metadaten-Standards pro Konsortium</w:t>
      </w:r>
    </w:p>
    <w:p w14:paraId="7B7D5CE0" w14:textId="77777777" w:rsidR="0053547C" w:rsidRDefault="007E015A" w:rsidP="007E015A">
      <w:pPr>
        <w:pStyle w:val="berschrift2"/>
      </w:pPr>
      <w:bookmarkStart w:id="13" w:name="bm_2_2_kategorisierung_der_metada_321f8e"/>
      <w:bookmarkStart w:id="14" w:name="_Toc216791223"/>
      <w:r>
        <w:t>2.2 Kategorisierung der Metadaten-Ebenen</w:t>
      </w:r>
      <w:bookmarkEnd w:id="13"/>
      <w:bookmarkEnd w:id="14"/>
    </w:p>
    <w:p w14:paraId="11FA7F88" w14:textId="77777777" w:rsidR="007E015A" w:rsidRPr="007E015A" w:rsidRDefault="007E015A" w:rsidP="007E015A"/>
    <w:p w14:paraId="13610346" w14:textId="77777777" w:rsidR="0053547C" w:rsidRDefault="007E015A">
      <w:pPr>
        <w:spacing w:after="210"/>
      </w:pPr>
      <w:r>
        <w:rPr>
          <w:rFonts w:eastAsia="Georgia" w:hAnsi="Georgia" w:cs="Georgia"/>
        </w:rPr>
        <w:t>Die Konsortien arbeiten mit unterschiedlichen Kategorisierungsebenen, die die Vielfalt ihrer Forschungsgegenstände widerspiegeln:</w:t>
      </w:r>
    </w:p>
    <w:p w14:paraId="0BC75EB0" w14:textId="77777777" w:rsidR="0053547C" w:rsidRDefault="007E015A">
      <w:pPr>
        <w:spacing w:after="210"/>
      </w:pPr>
      <w:r>
        <w:rPr>
          <w:b/>
        </w:rPr>
        <w:t>GHGA (Genomik):</w:t>
      </w:r>
    </w:p>
    <w:p w14:paraId="7A8839A3" w14:textId="77777777" w:rsidR="0053547C" w:rsidRDefault="007E015A">
      <w:pPr>
        <w:numPr>
          <w:ilvl w:val="0"/>
          <w:numId w:val="5"/>
        </w:numPr>
      </w:pPr>
      <w:r>
        <w:t>Study (Studie)</w:t>
      </w:r>
    </w:p>
    <w:p w14:paraId="571808CA" w14:textId="77777777" w:rsidR="0053547C" w:rsidRDefault="007E015A">
      <w:pPr>
        <w:numPr>
          <w:ilvl w:val="0"/>
          <w:numId w:val="5"/>
        </w:numPr>
      </w:pPr>
      <w:r>
        <w:t>Individual (Individuum)</w:t>
      </w:r>
    </w:p>
    <w:p w14:paraId="501620D9" w14:textId="77777777" w:rsidR="0053547C" w:rsidRDefault="007E015A">
      <w:pPr>
        <w:numPr>
          <w:ilvl w:val="0"/>
          <w:numId w:val="5"/>
        </w:numPr>
      </w:pPr>
      <w:r>
        <w:t>Sample (Probe)</w:t>
      </w:r>
    </w:p>
    <w:p w14:paraId="7BF6FB25" w14:textId="77777777" w:rsidR="0053547C" w:rsidRDefault="007E015A">
      <w:pPr>
        <w:numPr>
          <w:ilvl w:val="0"/>
          <w:numId w:val="5"/>
        </w:numPr>
      </w:pPr>
      <w:r>
        <w:t>Experiment (Experiment)</w:t>
      </w:r>
    </w:p>
    <w:p w14:paraId="4D0DC43C" w14:textId="77777777" w:rsidR="0053547C" w:rsidRDefault="007E015A">
      <w:pPr>
        <w:numPr>
          <w:ilvl w:val="0"/>
          <w:numId w:val="5"/>
        </w:numPr>
      </w:pPr>
      <w:r>
        <w:t>Analysis (Analyse)</w:t>
      </w:r>
    </w:p>
    <w:p w14:paraId="242E0D23" w14:textId="77777777" w:rsidR="0053547C" w:rsidRDefault="007E015A">
      <w:pPr>
        <w:numPr>
          <w:ilvl w:val="0"/>
          <w:numId w:val="5"/>
        </w:numPr>
      </w:pPr>
      <w:r>
        <w:rPr>
          <w:rFonts w:eastAsia="Georgia" w:hAnsi="Georgia" w:cs="Georgia"/>
        </w:rPr>
        <w:t>Dataset/Files/Data Access Committee (Datensätze/Dateien/Zugriffskontrolle)</w:t>
      </w:r>
    </w:p>
    <w:p w14:paraId="15BABB4E" w14:textId="77777777" w:rsidR="0053547C" w:rsidRDefault="007E015A">
      <w:pPr>
        <w:spacing w:after="210"/>
      </w:pPr>
      <w:r>
        <w:rPr>
          <w:b/>
        </w:rPr>
        <w:t>NFDI4Immuno (Immunologie):</w:t>
      </w:r>
    </w:p>
    <w:p w14:paraId="37B04CAB" w14:textId="77777777" w:rsidR="0053547C" w:rsidRDefault="007E015A">
      <w:pPr>
        <w:numPr>
          <w:ilvl w:val="0"/>
          <w:numId w:val="6"/>
        </w:numPr>
      </w:pPr>
      <w:r>
        <w:t>Study (Studie)</w:t>
      </w:r>
    </w:p>
    <w:p w14:paraId="017A11D8" w14:textId="77777777" w:rsidR="0053547C" w:rsidRDefault="007E015A">
      <w:pPr>
        <w:numPr>
          <w:ilvl w:val="0"/>
          <w:numId w:val="6"/>
        </w:numPr>
      </w:pPr>
      <w:r>
        <w:t>Subject (Versuchsperson)</w:t>
      </w:r>
    </w:p>
    <w:p w14:paraId="430B3727" w14:textId="77777777" w:rsidR="0053547C" w:rsidRDefault="007E015A">
      <w:pPr>
        <w:numPr>
          <w:ilvl w:val="0"/>
          <w:numId w:val="6"/>
        </w:numPr>
      </w:pPr>
      <w:r>
        <w:t>SampleEvent (Probenahme-Ereignis)</w:t>
      </w:r>
    </w:p>
    <w:p w14:paraId="204FA90A" w14:textId="77777777" w:rsidR="0053547C" w:rsidRDefault="007E015A">
      <w:pPr>
        <w:numPr>
          <w:ilvl w:val="0"/>
          <w:numId w:val="6"/>
        </w:numPr>
      </w:pPr>
      <w:r>
        <w:t>Sample (Probe)</w:t>
      </w:r>
    </w:p>
    <w:p w14:paraId="2B14A9B8" w14:textId="77777777" w:rsidR="0053547C" w:rsidRDefault="007E015A">
      <w:pPr>
        <w:numPr>
          <w:ilvl w:val="0"/>
          <w:numId w:val="6"/>
        </w:numPr>
      </w:pPr>
      <w:r>
        <w:t>SampleProcessingData (Datenverarbeitung)</w:t>
      </w:r>
    </w:p>
    <w:p w14:paraId="52BFBD74" w14:textId="77777777" w:rsidR="0053547C" w:rsidRDefault="007E015A">
      <w:pPr>
        <w:spacing w:after="210"/>
      </w:pPr>
      <w:r>
        <w:rPr>
          <w:b/>
        </w:rPr>
        <w:t>NFDI4Microbiota (Mikrobiologie):</w:t>
      </w:r>
    </w:p>
    <w:p w14:paraId="20D3DB2B" w14:textId="77777777" w:rsidR="0053547C" w:rsidRDefault="007E015A">
      <w:pPr>
        <w:numPr>
          <w:ilvl w:val="0"/>
          <w:numId w:val="7"/>
        </w:numPr>
      </w:pPr>
      <w:r>
        <w:t>Biological Metadata (Biologische Metadaten)</w:t>
      </w:r>
    </w:p>
    <w:p w14:paraId="7A8BB3CB" w14:textId="77777777" w:rsidR="0053547C" w:rsidRDefault="007E015A">
      <w:pPr>
        <w:numPr>
          <w:ilvl w:val="0"/>
          <w:numId w:val="7"/>
        </w:numPr>
      </w:pPr>
      <w:r>
        <w:t>Environmental Metadata (Umgebungsmetadaten)</w:t>
      </w:r>
    </w:p>
    <w:p w14:paraId="5C7D7545" w14:textId="77777777" w:rsidR="0053547C" w:rsidRDefault="007E015A">
      <w:pPr>
        <w:numPr>
          <w:ilvl w:val="0"/>
          <w:numId w:val="7"/>
        </w:numPr>
      </w:pPr>
      <w:r>
        <w:t>Technical Metadata (Technische Metadaten)</w:t>
      </w:r>
    </w:p>
    <w:p w14:paraId="5408C217" w14:textId="77777777" w:rsidR="0053547C" w:rsidRDefault="007E015A">
      <w:pPr>
        <w:numPr>
          <w:ilvl w:val="0"/>
          <w:numId w:val="7"/>
        </w:numPr>
      </w:pPr>
      <w:r>
        <w:t>Sample collection (Probensammlung)</w:t>
      </w:r>
    </w:p>
    <w:p w14:paraId="6F0AC704" w14:textId="77777777" w:rsidR="0053547C" w:rsidRDefault="007E015A">
      <w:pPr>
        <w:numPr>
          <w:ilvl w:val="0"/>
          <w:numId w:val="7"/>
        </w:numPr>
      </w:pPr>
      <w:r>
        <w:t>Sample processing (Probenbearbeitung)</w:t>
      </w:r>
    </w:p>
    <w:p w14:paraId="0B81DC6B" w14:textId="77777777" w:rsidR="0053547C" w:rsidRDefault="007E015A">
      <w:pPr>
        <w:numPr>
          <w:ilvl w:val="0"/>
          <w:numId w:val="7"/>
        </w:numPr>
      </w:pPr>
      <w:r>
        <w:t>Host metadata (Wirt-Metadaten)</w:t>
      </w:r>
    </w:p>
    <w:p w14:paraId="0FF1A102" w14:textId="71735A31" w:rsidR="0053547C" w:rsidRDefault="007E015A">
      <w:pPr>
        <w:spacing w:after="210"/>
      </w:pPr>
      <w:r>
        <w:rPr>
          <w:b/>
        </w:rPr>
        <w:t>BioImage (Bildgebung</w:t>
      </w:r>
      <w:r w:rsidR="004F025D">
        <w:rPr>
          <w:b/>
        </w:rPr>
        <w:t>; wie REMBI</w:t>
      </w:r>
      <w:r>
        <w:rPr>
          <w:b/>
        </w:rPr>
        <w:t>):</w:t>
      </w:r>
    </w:p>
    <w:p w14:paraId="43BA7CAE" w14:textId="77777777" w:rsidR="0053547C" w:rsidRDefault="007E015A">
      <w:pPr>
        <w:numPr>
          <w:ilvl w:val="0"/>
          <w:numId w:val="8"/>
        </w:numPr>
      </w:pPr>
      <w:r>
        <w:rPr>
          <w:rFonts w:eastAsia="Georgia" w:hAnsi="Georgia" w:cs="Georgia"/>
        </w:rPr>
        <w:lastRenderedPageBreak/>
        <w:t>Probe (Probe/Präparat)</w:t>
      </w:r>
    </w:p>
    <w:p w14:paraId="644DE677" w14:textId="77777777" w:rsidR="0053547C" w:rsidRDefault="007E015A">
      <w:pPr>
        <w:numPr>
          <w:ilvl w:val="0"/>
          <w:numId w:val="8"/>
        </w:numPr>
      </w:pPr>
      <w:r>
        <w:t>Data (Daten)</w:t>
      </w:r>
    </w:p>
    <w:p w14:paraId="1B8F5978" w14:textId="77777777" w:rsidR="0053547C" w:rsidRDefault="007E015A">
      <w:pPr>
        <w:numPr>
          <w:ilvl w:val="0"/>
          <w:numId w:val="8"/>
        </w:numPr>
      </w:pPr>
      <w:r>
        <w:t>Technical (Technische Parameter)</w:t>
      </w:r>
    </w:p>
    <w:p w14:paraId="65681C32" w14:textId="77777777" w:rsidR="0053547C" w:rsidRDefault="007E015A">
      <w:pPr>
        <w:numPr>
          <w:ilvl w:val="0"/>
          <w:numId w:val="8"/>
        </w:numPr>
      </w:pPr>
      <w:r>
        <w:t>Experimental Data (Experimentelle Daten)</w:t>
      </w:r>
    </w:p>
    <w:p w14:paraId="660E8E91" w14:textId="77777777" w:rsidR="0053547C" w:rsidRDefault="007E015A">
      <w:pPr>
        <w:spacing w:after="210"/>
      </w:pPr>
      <w:r>
        <w:rPr>
          <w:b/>
        </w:rPr>
        <w:t>NFDI4Health (Klinische Daten):</w:t>
      </w:r>
    </w:p>
    <w:p w14:paraId="578039CD" w14:textId="77777777" w:rsidR="0053547C" w:rsidRDefault="007E015A">
      <w:pPr>
        <w:numPr>
          <w:ilvl w:val="0"/>
          <w:numId w:val="9"/>
        </w:numPr>
      </w:pPr>
      <w:r>
        <w:t>Umfangreiche Kategorisierung (siehe NFDI Health Topic Coverage)</w:t>
      </w:r>
    </w:p>
    <w:p w14:paraId="6D36413D" w14:textId="77777777" w:rsidR="0053547C" w:rsidRDefault="007E015A" w:rsidP="007E015A">
      <w:pPr>
        <w:pStyle w:val="berschrift2"/>
      </w:pPr>
      <w:bookmarkStart w:id="15" w:name="bm_2_3_verwendete_ontologien_und_f881c8"/>
      <w:bookmarkStart w:id="16" w:name="_Toc216791224"/>
      <w:r>
        <w:t>2.3 Verwendete Ontologien und Vokabulare</w:t>
      </w:r>
      <w:bookmarkEnd w:id="15"/>
      <w:bookmarkEnd w:id="16"/>
    </w:p>
    <w:p w14:paraId="78ACA482" w14:textId="77777777" w:rsidR="007E015A" w:rsidRPr="007E015A" w:rsidRDefault="007E015A" w:rsidP="007E015A"/>
    <w:p w14:paraId="5571C435" w14:textId="77777777" w:rsidR="0053547C" w:rsidRDefault="007E015A">
      <w:pPr>
        <w:spacing w:after="210"/>
      </w:pPr>
      <w:r>
        <w:rPr>
          <w:rFonts w:eastAsia="Georgia" w:hAnsi="Georgia" w:cs="Georgia"/>
        </w:rPr>
        <w:t>Die Konsortien nutzen eine Vielzahl etablierter Ontologien, die jedoch noch nicht vollständig harmonisiert sind:</w:t>
      </w:r>
    </w:p>
    <w:p w14:paraId="0881199F" w14:textId="77777777" w:rsidR="0053547C" w:rsidRDefault="007E015A">
      <w:pPr>
        <w:spacing w:after="210"/>
      </w:pPr>
      <w:r>
        <w:rPr>
          <w:b/>
        </w:rPr>
        <w:t>Relevante Ontologien:</w:t>
      </w:r>
    </w:p>
    <w:p w14:paraId="5BC09F9C" w14:textId="77777777" w:rsidR="0053547C" w:rsidRDefault="007E015A">
      <w:pPr>
        <w:numPr>
          <w:ilvl w:val="0"/>
          <w:numId w:val="10"/>
        </w:numPr>
      </w:pPr>
      <w:r>
        <w:rPr>
          <w:b/>
        </w:rPr>
        <w:t>NCBItaxon</w:t>
      </w:r>
      <w:r>
        <w:t>: Taxonomische Klassifikation von Organismen</w:t>
      </w:r>
    </w:p>
    <w:p w14:paraId="07B7FC04" w14:textId="77777777" w:rsidR="0053547C" w:rsidRDefault="007E015A">
      <w:pPr>
        <w:numPr>
          <w:ilvl w:val="0"/>
          <w:numId w:val="10"/>
        </w:numPr>
      </w:pPr>
      <w:r>
        <w:rPr>
          <w:b/>
        </w:rPr>
        <w:t>ICD-10</w:t>
      </w:r>
      <w:r>
        <w:t>: Internationale Klassifikation von Krankheiten</w:t>
      </w:r>
    </w:p>
    <w:p w14:paraId="384BDED9" w14:textId="77777777" w:rsidR="0053547C" w:rsidRDefault="007E015A">
      <w:pPr>
        <w:numPr>
          <w:ilvl w:val="0"/>
          <w:numId w:val="10"/>
        </w:numPr>
      </w:pPr>
      <w:r>
        <w:rPr>
          <w:b/>
        </w:rPr>
        <w:t>SNOMED CT</w:t>
      </w:r>
      <w:r>
        <w:rPr>
          <w:rFonts w:eastAsia="Georgia" w:hAnsi="Georgia" w:cs="Georgia"/>
        </w:rPr>
        <w:t>: Systematische Medizinische Nomenklatur für klinische Begriffe</w:t>
      </w:r>
    </w:p>
    <w:p w14:paraId="51B109EA" w14:textId="77777777" w:rsidR="0053547C" w:rsidRDefault="007E015A">
      <w:pPr>
        <w:numPr>
          <w:ilvl w:val="0"/>
          <w:numId w:val="10"/>
        </w:numPr>
      </w:pPr>
      <w:r>
        <w:rPr>
          <w:b/>
        </w:rPr>
        <w:t>LOINC</w:t>
      </w:r>
      <w:r>
        <w:t>: Logical Observation Identifiers Names and Codes (Laborwerte und klinische Messungen)</w:t>
      </w:r>
    </w:p>
    <w:p w14:paraId="0FD6431B" w14:textId="77777777" w:rsidR="0053547C" w:rsidRDefault="007E015A">
      <w:pPr>
        <w:numPr>
          <w:ilvl w:val="0"/>
          <w:numId w:val="10"/>
        </w:numPr>
      </w:pPr>
      <w:r>
        <w:rPr>
          <w:b/>
        </w:rPr>
        <w:t>UBERON</w:t>
      </w:r>
      <w:r>
        <w:t>: Unified Anatomy Ontology (anatomische Strukturen)</w:t>
      </w:r>
    </w:p>
    <w:p w14:paraId="29D92845" w14:textId="77777777" w:rsidR="0053547C" w:rsidRPr="004F025D" w:rsidRDefault="007E015A">
      <w:pPr>
        <w:numPr>
          <w:ilvl w:val="0"/>
          <w:numId w:val="10"/>
        </w:numPr>
        <w:rPr>
          <w:lang w:val="en-GB"/>
        </w:rPr>
      </w:pPr>
      <w:r w:rsidRPr="004F025D">
        <w:rPr>
          <w:b/>
          <w:lang w:val="en-GB"/>
        </w:rPr>
        <w:t>NCIT</w:t>
      </w:r>
      <w:r w:rsidRPr="004F025D">
        <w:rPr>
          <w:lang w:val="en-GB"/>
        </w:rPr>
        <w:t>: NCI Thesaurus (National Cancer Institute)</w:t>
      </w:r>
    </w:p>
    <w:p w14:paraId="0AEAA128" w14:textId="77777777" w:rsidR="0053547C" w:rsidRDefault="007E015A">
      <w:pPr>
        <w:numPr>
          <w:ilvl w:val="0"/>
          <w:numId w:val="10"/>
        </w:numPr>
      </w:pPr>
      <w:r>
        <w:rPr>
          <w:b/>
        </w:rPr>
        <w:t>BRENDA Tissue Ontology</w:t>
      </w:r>
      <w:r>
        <w:t>: Gewebeklassifikation</w:t>
      </w:r>
    </w:p>
    <w:p w14:paraId="663536F3" w14:textId="77777777" w:rsidR="0053547C" w:rsidRDefault="00223D23">
      <w:r>
        <w:rPr>
          <w:noProof/>
        </w:rPr>
        <w:pict w14:anchorId="156DC2E0">
          <v:rect id="_x0000_i1027" alt="" style="width:434.5pt;height:.05pt;mso-width-percent:0;mso-height-percent:0;mso-width-percent:0;mso-height-percent:0" o:hralign="center" o:hrstd="t" o:hr="t"/>
        </w:pict>
      </w:r>
    </w:p>
    <w:p w14:paraId="2289E3B1" w14:textId="77777777" w:rsidR="0053547C" w:rsidRDefault="007E015A" w:rsidP="007E015A">
      <w:pPr>
        <w:pStyle w:val="berschrift1"/>
      </w:pPr>
      <w:bookmarkStart w:id="17" w:name="bm_3_handlungsbedarfe_wo_mehr_zus_f1fe4c"/>
      <w:bookmarkStart w:id="18" w:name="_Toc216791225"/>
      <w:r>
        <w:t>3. Handlungsbedarfe: Wo mehr Zusammenarbeit notwendig ist</w:t>
      </w:r>
      <w:bookmarkEnd w:id="17"/>
      <w:bookmarkEnd w:id="18"/>
    </w:p>
    <w:p w14:paraId="27A43602" w14:textId="77777777" w:rsidR="007E015A" w:rsidRPr="007E015A" w:rsidRDefault="007E015A" w:rsidP="007E015A"/>
    <w:p w14:paraId="1EF0C7DB" w14:textId="77777777" w:rsidR="0053547C" w:rsidRDefault="007E015A" w:rsidP="007E015A">
      <w:pPr>
        <w:pStyle w:val="berschrift2"/>
      </w:pPr>
      <w:bookmarkStart w:id="19" w:name="bm_3_1_technische_harmonisierungs_99a5f6"/>
      <w:bookmarkStart w:id="20" w:name="_Toc216791226"/>
      <w:r>
        <w:t>3.1 Technische Harmonisierungserfordernisse</w:t>
      </w:r>
      <w:bookmarkEnd w:id="19"/>
      <w:bookmarkEnd w:id="20"/>
    </w:p>
    <w:p w14:paraId="0351FA4A" w14:textId="77777777" w:rsidR="007E015A" w:rsidRPr="007E015A" w:rsidRDefault="007E015A" w:rsidP="007E015A"/>
    <w:p w14:paraId="162FEC23" w14:textId="77777777" w:rsidR="0053547C" w:rsidRDefault="007E015A">
      <w:pPr>
        <w:spacing w:after="210"/>
      </w:pPr>
      <w:r>
        <w:rPr>
          <w:rFonts w:eastAsia="Georgia" w:hAnsi="Georgia" w:cs="Georgia"/>
        </w:rPr>
        <w:t>Das Workshop-Plenum hat eine Vielzahl von Bereichen identifiziert, in denen Harmonisierungsmaßnahmen erforderlich sind:</w:t>
      </w:r>
    </w:p>
    <w:p w14:paraId="4782AA72" w14:textId="77777777" w:rsidR="0053547C" w:rsidRDefault="007E015A">
      <w:pPr>
        <w:spacing w:after="210"/>
      </w:pPr>
      <w:r>
        <w:rPr>
          <w:b/>
        </w:rPr>
        <w:t>Standardisierung von Metadaten-Schemata:</w:t>
      </w:r>
    </w:p>
    <w:p w14:paraId="7AD1A5F0" w14:textId="77777777" w:rsidR="0053547C" w:rsidRDefault="007E015A">
      <w:pPr>
        <w:numPr>
          <w:ilvl w:val="0"/>
          <w:numId w:val="11"/>
        </w:numPr>
      </w:pPr>
      <w:r>
        <w:t>Bislang arbeiten die Konsortien mit heterogenen Datenformaten und Strukturen</w:t>
      </w:r>
    </w:p>
    <w:p w14:paraId="57D7CFD0" w14:textId="77777777" w:rsidR="0053547C" w:rsidRDefault="007E015A">
      <w:pPr>
        <w:numPr>
          <w:ilvl w:val="0"/>
          <w:numId w:val="11"/>
        </w:numPr>
      </w:pPr>
      <w:r>
        <w:rPr>
          <w:rFonts w:eastAsia="Georgia" w:hAnsi="Georgia" w:cs="Georgia"/>
        </w:rPr>
        <w:t>Es ist eine übergeordnete, konsortium-übergreifende Definition von Metadaten-Strukturen notwendig</w:t>
      </w:r>
    </w:p>
    <w:p w14:paraId="0D4C407F" w14:textId="77777777" w:rsidR="0053547C" w:rsidRDefault="007E015A">
      <w:pPr>
        <w:numPr>
          <w:ilvl w:val="0"/>
          <w:numId w:val="11"/>
        </w:numPr>
      </w:pPr>
      <w:r>
        <w:t xml:space="preserve">Dies erfordert die Festlegung eines </w:t>
      </w:r>
      <w:r>
        <w:rPr>
          <w:b/>
        </w:rPr>
        <w:t>minimalen gemeinsamen Satzes von Metadaten-Feldern</w:t>
      </w:r>
      <w:r>
        <w:rPr>
          <w:rFonts w:eastAsia="Georgia" w:hAnsi="Georgia" w:cs="Georgia"/>
        </w:rPr>
        <w:t>, die in allen Konsortien vorhanden sein müssen</w:t>
      </w:r>
    </w:p>
    <w:p w14:paraId="41530B1F" w14:textId="77777777" w:rsidR="0053547C" w:rsidRDefault="007E015A">
      <w:pPr>
        <w:spacing w:after="210"/>
      </w:pPr>
      <w:r>
        <w:rPr>
          <w:b/>
        </w:rPr>
        <w:t>Format-Standardisierung:</w:t>
      </w:r>
    </w:p>
    <w:p w14:paraId="29DE8CF0" w14:textId="77777777" w:rsidR="0053547C" w:rsidRDefault="007E015A">
      <w:pPr>
        <w:numPr>
          <w:ilvl w:val="0"/>
          <w:numId w:val="12"/>
        </w:numPr>
      </w:pPr>
      <w:r>
        <w:rPr>
          <w:rFonts w:eastAsia="Georgia" w:hAnsi="Georgia" w:cs="Georgia"/>
        </w:rPr>
        <w:t>Übergang zu nicht-proprietären, standardisierten Datenformaten (JSON, XML) ist erforderlich</w:t>
      </w:r>
    </w:p>
    <w:p w14:paraId="59D1A382" w14:textId="77777777" w:rsidR="0053547C" w:rsidRDefault="007E015A">
      <w:pPr>
        <w:numPr>
          <w:ilvl w:val="0"/>
          <w:numId w:val="12"/>
        </w:numPr>
      </w:pPr>
      <w:r>
        <w:rPr>
          <w:rFonts w:eastAsia="Georgia" w:hAnsi="Georgia" w:cs="Georgia"/>
        </w:rPr>
        <w:lastRenderedPageBreak/>
        <w:t>Dies ermöglicht maschinelle Verarbeitung und Austausch über Systemgrenzen hinweg</w:t>
      </w:r>
    </w:p>
    <w:p w14:paraId="5A7AA7A3" w14:textId="77777777" w:rsidR="0053547C" w:rsidRDefault="007E015A">
      <w:pPr>
        <w:spacing w:after="210"/>
      </w:pPr>
      <w:r>
        <w:rPr>
          <w:b/>
        </w:rPr>
        <w:t>Ontologie-Harmonisierung:</w:t>
      </w:r>
    </w:p>
    <w:p w14:paraId="2E7E0A42" w14:textId="77777777" w:rsidR="0053547C" w:rsidRDefault="007E015A">
      <w:pPr>
        <w:numPr>
          <w:ilvl w:val="0"/>
          <w:numId w:val="13"/>
        </w:numPr>
      </w:pPr>
      <w:r>
        <w:rPr>
          <w:b/>
        </w:rPr>
        <w:t>Semantische Vereinheitlichung</w:t>
      </w:r>
      <w:r>
        <w:rPr>
          <w:rFonts w:eastAsia="Georgia" w:hAnsi="Georgia" w:cs="Georgia"/>
        </w:rPr>
        <w:t xml:space="preserve"> ist eine zentrale Herausforderung: Die gleiche biologische Variable (z.B. „Blutdruck") muss konsortium-übergreifend einheitlich definiert sein</w:t>
      </w:r>
    </w:p>
    <w:p w14:paraId="345C4AFD" w14:textId="77777777" w:rsidR="0053547C" w:rsidRDefault="007E015A">
      <w:pPr>
        <w:numPr>
          <w:ilvl w:val="0"/>
          <w:numId w:val="13"/>
        </w:numPr>
      </w:pPr>
      <w:r>
        <w:rPr>
          <w:rFonts w:eastAsia="Georgia" w:hAnsi="Georgia" w:cs="Georgia"/>
        </w:rPr>
        <w:t>Die bereits identifizierten Ontologien müssen systematisch gemappt und in ihrer Verwendung harmonisiert werden</w:t>
      </w:r>
    </w:p>
    <w:p w14:paraId="53B58A8D" w14:textId="77777777" w:rsidR="0053547C" w:rsidRDefault="007E015A" w:rsidP="007E015A">
      <w:pPr>
        <w:pStyle w:val="berschrift2"/>
      </w:pPr>
      <w:bookmarkStart w:id="21" w:name="bm_3_2_governance_und_datenschutz"/>
      <w:bookmarkStart w:id="22" w:name="_Toc216791227"/>
      <w:r>
        <w:t>3.2 Governance und Datenschutz</w:t>
      </w:r>
      <w:bookmarkEnd w:id="21"/>
      <w:bookmarkEnd w:id="22"/>
    </w:p>
    <w:p w14:paraId="223116A9" w14:textId="77777777" w:rsidR="007E015A" w:rsidRPr="007E015A" w:rsidRDefault="007E015A" w:rsidP="007E015A"/>
    <w:p w14:paraId="7691175D" w14:textId="77777777" w:rsidR="0053547C" w:rsidRDefault="007E015A">
      <w:pPr>
        <w:spacing w:after="210"/>
      </w:pPr>
      <w:r>
        <w:rPr>
          <w:b/>
        </w:rPr>
        <w:t>Datengovernance und Zugriffskontrollen:</w:t>
      </w:r>
    </w:p>
    <w:p w14:paraId="373A4A50" w14:textId="77777777" w:rsidR="0053547C" w:rsidRDefault="007E015A">
      <w:pPr>
        <w:numPr>
          <w:ilvl w:val="0"/>
          <w:numId w:val="14"/>
        </w:numPr>
      </w:pPr>
      <w:r>
        <w:t xml:space="preserve">Eine gemeinsame </w:t>
      </w:r>
      <w:r>
        <w:rPr>
          <w:b/>
        </w:rPr>
        <w:t>Datengovernance-Policy</w:t>
      </w:r>
      <w:r>
        <w:rPr>
          <w:rFonts w:eastAsia="Georgia" w:hAnsi="Georgia" w:cs="Georgia"/>
        </w:rPr>
        <w:t xml:space="preserve"> ist zu etablieren, die Zugriff, Nutzung und Qualitätskontrolle regelt</w:t>
      </w:r>
    </w:p>
    <w:p w14:paraId="5241BEE5" w14:textId="77777777" w:rsidR="0053547C" w:rsidRDefault="007E015A">
      <w:pPr>
        <w:numPr>
          <w:ilvl w:val="0"/>
          <w:numId w:val="14"/>
        </w:numPr>
      </w:pPr>
      <w:r>
        <w:t>Dies ist besonders wichtig angesichts der sensiblen Natur biomedizinischer Daten</w:t>
      </w:r>
    </w:p>
    <w:p w14:paraId="3F453D3E" w14:textId="77777777" w:rsidR="0053547C" w:rsidRDefault="007E015A">
      <w:pPr>
        <w:spacing w:after="210"/>
      </w:pPr>
      <w:r>
        <w:rPr>
          <w:b/>
        </w:rPr>
        <w:t>GDPR und sensible Daten:</w:t>
      </w:r>
    </w:p>
    <w:p w14:paraId="5E4B5C7F" w14:textId="77777777" w:rsidR="0053547C" w:rsidRDefault="007E015A">
      <w:pPr>
        <w:numPr>
          <w:ilvl w:val="0"/>
          <w:numId w:val="15"/>
        </w:numPr>
      </w:pPr>
      <w:r>
        <w:t xml:space="preserve">Die </w:t>
      </w:r>
      <w:r>
        <w:rPr>
          <w:b/>
        </w:rPr>
        <w:t>Klassifikation von GDPR-relevanten Metadaten</w:t>
      </w:r>
      <w:r>
        <w:t xml:space="preserve"> ist zwingend erforderlich</w:t>
      </w:r>
    </w:p>
    <w:p w14:paraId="0C286056" w14:textId="77777777" w:rsidR="0053547C" w:rsidRDefault="007E015A">
      <w:pPr>
        <w:numPr>
          <w:ilvl w:val="0"/>
          <w:numId w:val="15"/>
        </w:numPr>
      </w:pPr>
      <w:r>
        <w:rPr>
          <w:rFonts w:eastAsia="Georgia" w:hAnsi="Georgia" w:cs="Georgia"/>
        </w:rPr>
        <w:t>Der Umgang mit sensiblen Daten und Abfragen (insbesondere im Kontext von FDPG – Forschungsdatenschutzgesetz) muss harmonisiert werden</w:t>
      </w:r>
    </w:p>
    <w:p w14:paraId="040481D0" w14:textId="77777777" w:rsidR="0053547C" w:rsidRDefault="007E015A">
      <w:pPr>
        <w:numPr>
          <w:ilvl w:val="0"/>
          <w:numId w:val="15"/>
        </w:numPr>
      </w:pPr>
      <w:r>
        <w:t>Eine abgestimmte Policy zwischen den Konsortien und Institutionen wie der MII (Medizininformatik-Initiative) ist notwendig</w:t>
      </w:r>
    </w:p>
    <w:p w14:paraId="3BF4AF60" w14:textId="77777777" w:rsidR="0053547C" w:rsidRDefault="007E015A" w:rsidP="007E015A">
      <w:pPr>
        <w:pStyle w:val="berschrift2"/>
      </w:pPr>
      <w:bookmarkStart w:id="23" w:name="bm_3_3_organisatorische_und_perso_6fcc61"/>
      <w:bookmarkStart w:id="24" w:name="_Toc216791228"/>
      <w:r>
        <w:t>3.3 Organisatorische und personelle Erfordernisse</w:t>
      </w:r>
      <w:bookmarkEnd w:id="23"/>
      <w:bookmarkEnd w:id="24"/>
    </w:p>
    <w:p w14:paraId="3C0A025A" w14:textId="77777777" w:rsidR="007E015A" w:rsidRPr="007E015A" w:rsidRDefault="007E015A" w:rsidP="007E015A"/>
    <w:p w14:paraId="34F8D329" w14:textId="77777777" w:rsidR="0053547C" w:rsidRDefault="007E015A">
      <w:pPr>
        <w:spacing w:after="210"/>
      </w:pPr>
      <w:r>
        <w:rPr>
          <w:b/>
        </w:rPr>
        <w:t>Dedizierte Ressourcen:</w:t>
      </w:r>
    </w:p>
    <w:p w14:paraId="48C9AB34" w14:textId="77777777" w:rsidR="0053547C" w:rsidRDefault="007E015A">
      <w:pPr>
        <w:numPr>
          <w:ilvl w:val="0"/>
          <w:numId w:val="16"/>
        </w:numPr>
      </w:pPr>
      <w:r>
        <w:t xml:space="preserve">Die Etablierung einer </w:t>
      </w:r>
      <w:r>
        <w:rPr>
          <w:b/>
        </w:rPr>
        <w:t>Metadata Interoperability Group mit Full-Time-Positionen</w:t>
      </w:r>
      <w:r>
        <w:rPr>
          <w:rFonts w:eastAsia="Georgia" w:hAnsi="Georgia" w:cs="Georgia"/>
        </w:rPr>
        <w:t xml:space="preserve"> ist unerlässlich</w:t>
      </w:r>
    </w:p>
    <w:p w14:paraId="7BB9C586" w14:textId="77777777" w:rsidR="0053547C" w:rsidRDefault="007E015A">
      <w:pPr>
        <w:numPr>
          <w:ilvl w:val="0"/>
          <w:numId w:val="16"/>
        </w:numPr>
      </w:pPr>
      <w:r>
        <w:rPr>
          <w:rFonts w:eastAsia="Georgia" w:hAnsi="Georgia" w:cs="Georgia"/>
        </w:rPr>
        <w:t xml:space="preserve">Regelmäßige </w:t>
      </w:r>
      <w:r>
        <w:rPr>
          <w:b/>
        </w:rPr>
        <w:t>Monitoring- und Update-Prozesse</w:t>
      </w:r>
      <w:r>
        <w:rPr>
          <w:rFonts w:eastAsia="Georgia" w:hAnsi="Georgia" w:cs="Georgia"/>
        </w:rPr>
        <w:t xml:space="preserve"> erfordern ebenfalls Vollzeitkräfte</w:t>
      </w:r>
    </w:p>
    <w:p w14:paraId="20DBAB81" w14:textId="77777777" w:rsidR="0053547C" w:rsidRDefault="007E015A">
      <w:pPr>
        <w:numPr>
          <w:ilvl w:val="0"/>
          <w:numId w:val="16"/>
        </w:numPr>
      </w:pPr>
      <w:r>
        <w:rPr>
          <w:rFonts w:eastAsia="Georgia" w:hAnsi="Georgia" w:cs="Georgia"/>
        </w:rPr>
        <w:t>Dies geht über reine freiwillige oder nebenberufliche Mitarbeit hinaus</w:t>
      </w:r>
    </w:p>
    <w:p w14:paraId="264F373A" w14:textId="77777777" w:rsidR="0053547C" w:rsidRDefault="007E015A">
      <w:pPr>
        <w:spacing w:after="210"/>
      </w:pPr>
      <w:r>
        <w:rPr>
          <w:b/>
        </w:rPr>
        <w:t>Schulung und Wissenstransfer:</w:t>
      </w:r>
    </w:p>
    <w:p w14:paraId="48066ADC" w14:textId="77777777" w:rsidR="0053547C" w:rsidRDefault="007E015A">
      <w:pPr>
        <w:numPr>
          <w:ilvl w:val="0"/>
          <w:numId w:val="17"/>
        </w:numPr>
      </w:pPr>
      <w:r>
        <w:t xml:space="preserve">Systematische </w:t>
      </w:r>
      <w:r>
        <w:rPr>
          <w:b/>
        </w:rPr>
        <w:t>Schulung von Nutzern und Entwicklern</w:t>
      </w:r>
      <w:r>
        <w:rPr>
          <w:rFonts w:eastAsia="Georgia" w:hAnsi="Georgia" w:cs="Georgia"/>
        </w:rPr>
        <w:t xml:space="preserve"> bezüglich interoperabler Metadaten-Umgebungen ist erforderlich</w:t>
      </w:r>
    </w:p>
    <w:p w14:paraId="393E5C01" w14:textId="18474438" w:rsidR="0053547C" w:rsidRDefault="007E015A">
      <w:pPr>
        <w:numPr>
          <w:ilvl w:val="0"/>
          <w:numId w:val="17"/>
        </w:numPr>
      </w:pPr>
      <w:r>
        <w:rPr>
          <w:rFonts w:eastAsia="Georgia" w:hAnsi="Georgia" w:cs="Georgia"/>
        </w:rPr>
        <w:t>Ein Mindset-Wechsel hin zur Standardisierung muss in allen Konsortien</w:t>
      </w:r>
      <w:r w:rsidR="000C2A6E">
        <w:rPr>
          <w:rFonts w:eastAsia="Georgia" w:hAnsi="Georgia" w:cs="Georgia"/>
        </w:rPr>
        <w:t xml:space="preserve"> sowie den Wissenschaftlern die die Daten produzieren</w:t>
      </w:r>
      <w:r>
        <w:rPr>
          <w:rFonts w:eastAsia="Georgia" w:hAnsi="Georgia" w:cs="Georgia"/>
        </w:rPr>
        <w:t xml:space="preserve"> angestoßen werden</w:t>
      </w:r>
    </w:p>
    <w:p w14:paraId="285C634A" w14:textId="77777777" w:rsidR="0053547C" w:rsidRDefault="007E015A">
      <w:pPr>
        <w:spacing w:after="210"/>
      </w:pPr>
      <w:r>
        <w:rPr>
          <w:b/>
        </w:rPr>
        <w:t>Metadata Management Tools:</w:t>
      </w:r>
    </w:p>
    <w:p w14:paraId="7B59C7F3" w14:textId="427AD07B" w:rsidR="0053547C" w:rsidRDefault="007E015A">
      <w:pPr>
        <w:numPr>
          <w:ilvl w:val="0"/>
          <w:numId w:val="18"/>
        </w:numPr>
      </w:pPr>
      <w:r>
        <w:rPr>
          <w:rFonts w:eastAsia="Georgia" w:hAnsi="Georgia" w:cs="Georgia"/>
        </w:rPr>
        <w:t xml:space="preserve">Die Einführung geeigneter </w:t>
      </w:r>
      <w:r>
        <w:rPr>
          <w:b/>
        </w:rPr>
        <w:t>Metadaten-Management-Tools</w:t>
      </w:r>
      <w:r>
        <w:t xml:space="preserve"> kann Prozesse erheblich vereinfachen und standardisieren</w:t>
      </w:r>
      <w:r w:rsidR="000C2A6E">
        <w:t xml:space="preserve"> und sollte evaluiert werden</w:t>
      </w:r>
    </w:p>
    <w:p w14:paraId="3E58ACB7" w14:textId="77777777" w:rsidR="0053547C" w:rsidRDefault="00223D23">
      <w:r>
        <w:rPr>
          <w:noProof/>
        </w:rPr>
        <w:pict w14:anchorId="2ED9D614">
          <v:rect id="_x0000_i1028" alt="" style="width:434.5pt;height:.05pt;mso-width-percent:0;mso-height-percent:0;mso-width-percent:0;mso-height-percent:0" o:hralign="center" o:hrstd="t" o:hr="t"/>
        </w:pict>
      </w:r>
    </w:p>
    <w:p w14:paraId="6AE6B0A2" w14:textId="77777777" w:rsidR="0053547C" w:rsidRDefault="007E015A" w:rsidP="007E015A">
      <w:pPr>
        <w:pStyle w:val="berschrift1"/>
        <w:rPr>
          <w:rFonts w:eastAsia="Georgia"/>
        </w:rPr>
      </w:pPr>
      <w:bookmarkStart w:id="25" w:name="bm_4_der_nutzen_mehrwert_der_meta_46282d"/>
      <w:bookmarkStart w:id="26" w:name="_Toc216791229"/>
      <w:r>
        <w:rPr>
          <w:rFonts w:eastAsia="Georgia"/>
        </w:rPr>
        <w:lastRenderedPageBreak/>
        <w:t>4. Der Nutzen: Mehrwert der Metadaten-Interoperabilität</w:t>
      </w:r>
      <w:bookmarkEnd w:id="25"/>
      <w:bookmarkEnd w:id="26"/>
    </w:p>
    <w:p w14:paraId="313104E6" w14:textId="77777777" w:rsidR="007E015A" w:rsidRPr="007E015A" w:rsidRDefault="007E015A" w:rsidP="007E015A"/>
    <w:p w14:paraId="2F1333FC" w14:textId="77777777" w:rsidR="0053547C" w:rsidRDefault="007E015A" w:rsidP="007E015A">
      <w:pPr>
        <w:pStyle w:val="berschrift2"/>
      </w:pPr>
      <w:bookmarkStart w:id="27" w:name="bm_4_1_fair_konformität_und_daten_7c7cf5"/>
      <w:bookmarkStart w:id="28" w:name="_Toc216791230"/>
      <w:r>
        <w:rPr>
          <w:rFonts w:eastAsia="Georgia"/>
        </w:rPr>
        <w:t>4.1 FAIR-Konformität und Datenqualität</w:t>
      </w:r>
      <w:bookmarkEnd w:id="27"/>
      <w:bookmarkEnd w:id="28"/>
    </w:p>
    <w:p w14:paraId="4A9D7E10" w14:textId="77777777" w:rsidR="007E015A" w:rsidRDefault="007E015A">
      <w:pPr>
        <w:spacing w:after="210"/>
        <w:rPr>
          <w:rFonts w:eastAsia="Georgia" w:hAnsi="Georgia" w:cs="Georgia"/>
        </w:rPr>
      </w:pPr>
    </w:p>
    <w:p w14:paraId="0EBE0B37" w14:textId="4095B715" w:rsidR="0053547C" w:rsidRDefault="007E015A">
      <w:pPr>
        <w:spacing w:after="210"/>
      </w:pPr>
      <w:r>
        <w:rPr>
          <w:rFonts w:eastAsia="Georgia" w:hAnsi="Georgia" w:cs="Georgia"/>
        </w:rPr>
        <w:t xml:space="preserve">Die erste und wichtigste </w:t>
      </w:r>
      <w:r w:rsidR="000C2A6E">
        <w:rPr>
          <w:rFonts w:eastAsia="Georgia" w:hAnsi="Georgia" w:cs="Georgia"/>
        </w:rPr>
        <w:t>Vorteil</w:t>
      </w:r>
      <w:r>
        <w:rPr>
          <w:rFonts w:eastAsia="Georgia" w:hAnsi="Georgia" w:cs="Georgia"/>
        </w:rPr>
        <w:t xml:space="preserve"> ist, dass Metadaten-Interoperabilität </w:t>
      </w:r>
      <w:r>
        <w:rPr>
          <w:b/>
        </w:rPr>
        <w:t>FAIR-konforme Forschungsdaten</w:t>
      </w:r>
      <w:r>
        <w:rPr>
          <w:rFonts w:eastAsia="Georgia" w:hAnsi="Georgia" w:cs="Georgia"/>
        </w:rPr>
        <w:t xml:space="preserve"> ermöglicht:</w:t>
      </w:r>
    </w:p>
    <w:p w14:paraId="2BC0E717" w14:textId="4A9FDAC0" w:rsidR="0053547C" w:rsidRDefault="007E015A">
      <w:pPr>
        <w:numPr>
          <w:ilvl w:val="0"/>
          <w:numId w:val="19"/>
        </w:numPr>
      </w:pPr>
      <w:r>
        <w:rPr>
          <w:b/>
        </w:rPr>
        <w:t>Findable:</w:t>
      </w:r>
      <w:r>
        <w:rPr>
          <w:rFonts w:eastAsia="Georgia" w:hAnsi="Georgia" w:cs="Georgia"/>
        </w:rPr>
        <w:t xml:space="preserve"> Durch standardisierte Metadaten werden Forschungsdaten in großen Repositorien leichter auffindbar</w:t>
      </w:r>
    </w:p>
    <w:p w14:paraId="226E3A58" w14:textId="5EBA02A4" w:rsidR="0053547C" w:rsidRDefault="007E015A">
      <w:pPr>
        <w:numPr>
          <w:ilvl w:val="0"/>
          <w:numId w:val="19"/>
        </w:numPr>
      </w:pPr>
      <w:r>
        <w:rPr>
          <w:b/>
        </w:rPr>
        <w:t>Accessible:</w:t>
      </w:r>
      <w:r>
        <w:t xml:space="preserve"> Einheitliche Zugriffsmechanismen und Zugriffskontrollen</w:t>
      </w:r>
    </w:p>
    <w:p w14:paraId="79C10567" w14:textId="6BDF30D2" w:rsidR="0053547C" w:rsidRDefault="007E015A">
      <w:pPr>
        <w:numPr>
          <w:ilvl w:val="0"/>
          <w:numId w:val="19"/>
        </w:numPr>
      </w:pPr>
      <w:r>
        <w:rPr>
          <w:b/>
        </w:rPr>
        <w:t>Interoperable:</w:t>
      </w:r>
      <w:r>
        <w:t xml:space="preserve"> Dies ist der Kern des vorliegenden Bestrebens</w:t>
      </w:r>
    </w:p>
    <w:p w14:paraId="7CF92C89" w14:textId="524843A7" w:rsidR="0053547C" w:rsidRDefault="007E015A">
      <w:pPr>
        <w:numPr>
          <w:ilvl w:val="0"/>
          <w:numId w:val="19"/>
        </w:numPr>
      </w:pPr>
      <w:r>
        <w:rPr>
          <w:b/>
        </w:rPr>
        <w:t>Reusable:</w:t>
      </w:r>
      <w:r>
        <w:t xml:space="preserve"> Hinreichend dokumentierte Metadaten erlauben es anderen Forschern, Daten sicher nachzunutzen</w:t>
      </w:r>
      <w:r w:rsidR="000C2A6E">
        <w:t xml:space="preserve"> oder zu reproduzieren</w:t>
      </w:r>
    </w:p>
    <w:p w14:paraId="3D6EF078" w14:textId="77777777" w:rsidR="007E015A" w:rsidRDefault="007E015A" w:rsidP="007E015A">
      <w:pPr>
        <w:ind w:left="720"/>
      </w:pPr>
    </w:p>
    <w:p w14:paraId="7E2E882A" w14:textId="77777777" w:rsidR="0053547C" w:rsidRDefault="007E015A" w:rsidP="007E015A">
      <w:pPr>
        <w:pStyle w:val="berschrift2"/>
        <w:rPr>
          <w:rFonts w:eastAsia="Georgia"/>
        </w:rPr>
      </w:pPr>
      <w:bookmarkStart w:id="29" w:name="bm_4_2_domänenübergreifende_daten_357116"/>
      <w:bookmarkStart w:id="30" w:name="_Toc216791231"/>
      <w:r>
        <w:rPr>
          <w:rFonts w:eastAsia="Georgia"/>
        </w:rPr>
        <w:t>4.2 Domänenübergreifende Datenintegration und Daten-Fusion</w:t>
      </w:r>
      <w:bookmarkEnd w:id="29"/>
      <w:bookmarkEnd w:id="30"/>
    </w:p>
    <w:p w14:paraId="3E01E945" w14:textId="77777777" w:rsidR="007E015A" w:rsidRPr="007E015A" w:rsidRDefault="007E015A" w:rsidP="007E015A"/>
    <w:p w14:paraId="5A2AB1F6" w14:textId="77777777" w:rsidR="0053547C" w:rsidRDefault="007E015A">
      <w:pPr>
        <w:spacing w:after="210"/>
      </w:pPr>
      <w:r>
        <w:rPr>
          <w:rFonts w:eastAsia="Georgia" w:hAnsi="Georgia" w:cs="Georgia"/>
        </w:rPr>
        <w:t xml:space="preserve">Metadaten-Interoperabilität ermöglicht die </w:t>
      </w:r>
      <w:r>
        <w:rPr>
          <w:b/>
        </w:rPr>
        <w:t>nahtlose Kombination heterogener Datentypen</w:t>
      </w:r>
      <w:r>
        <w:rPr>
          <w:rFonts w:eastAsia="Georgia" w:hAnsi="Georgia" w:cs="Georgia"/>
        </w:rPr>
        <w:t xml:space="preserve"> – etwa genomische Profile mit klinischer Krankengeschichte, Bildgebung und weiteren Datenquellen:</w:t>
      </w:r>
    </w:p>
    <w:p w14:paraId="32FA0A34" w14:textId="77777777" w:rsidR="0053547C" w:rsidRDefault="007E015A">
      <w:pPr>
        <w:spacing w:after="210"/>
      </w:pPr>
      <w:r>
        <w:rPr>
          <w:b/>
        </w:rPr>
        <w:t>Mechanismus:</w:t>
      </w:r>
    </w:p>
    <w:p w14:paraId="3D662C95" w14:textId="77777777" w:rsidR="0053547C" w:rsidRDefault="007E015A">
      <w:pPr>
        <w:numPr>
          <w:ilvl w:val="0"/>
          <w:numId w:val="20"/>
        </w:numPr>
      </w:pPr>
      <w:r>
        <w:rPr>
          <w:rFonts w:eastAsia="Georgia" w:hAnsi="Georgia" w:cs="Georgia"/>
        </w:rPr>
        <w:t>Durch die Verwendung gemeinsamer Ontologien (z.B. SNOMED CT, LOINC) und standardisierter Metadaten-Schemata können unterschiedliche Datentypen miteinander verlinkt werden, ohne manuelle Mappings vornehmen zu müssen</w:t>
      </w:r>
    </w:p>
    <w:p w14:paraId="13C912BE" w14:textId="756BC4B8" w:rsidR="0053547C" w:rsidRDefault="007E015A">
      <w:pPr>
        <w:spacing w:after="210"/>
      </w:pPr>
      <w:r>
        <w:rPr>
          <w:b/>
        </w:rPr>
        <w:t xml:space="preserve">Konkrete </w:t>
      </w:r>
      <w:r w:rsidR="000C2A6E">
        <w:rPr>
          <w:b/>
        </w:rPr>
        <w:t>Vorteile</w:t>
      </w:r>
      <w:r>
        <w:rPr>
          <w:b/>
        </w:rPr>
        <w:t>:</w:t>
      </w:r>
    </w:p>
    <w:p w14:paraId="23E0C8DC" w14:textId="77777777" w:rsidR="0053547C" w:rsidRDefault="007E015A">
      <w:pPr>
        <w:numPr>
          <w:ilvl w:val="0"/>
          <w:numId w:val="21"/>
        </w:numPr>
      </w:pPr>
      <w:r>
        <w:t xml:space="preserve">Dies </w:t>
      </w:r>
      <w:r>
        <w:rPr>
          <w:b/>
        </w:rPr>
        <w:t>bricht Datensilos auf</w:t>
      </w:r>
      <w:r>
        <w:t>, die traditionell zwischen verschiedenen Forschungsdisziplinen und Institutionen existieren</w:t>
      </w:r>
    </w:p>
    <w:p w14:paraId="01865E7E" w14:textId="77777777" w:rsidR="0053547C" w:rsidRDefault="007E015A">
      <w:pPr>
        <w:numPr>
          <w:ilvl w:val="0"/>
          <w:numId w:val="21"/>
        </w:numPr>
      </w:pPr>
      <w:r>
        <w:rPr>
          <w:rFonts w:eastAsia="Georgia" w:hAnsi="Georgia" w:cs="Georgia"/>
        </w:rPr>
        <w:t xml:space="preserve">Forscher können nun </w:t>
      </w:r>
      <w:r>
        <w:rPr>
          <w:b/>
        </w:rPr>
        <w:t>komplexe Zusammenh</w:t>
      </w:r>
      <w:r>
        <w:rPr>
          <w:b/>
        </w:rPr>
        <w:t>ä</w:t>
      </w:r>
      <w:r>
        <w:rPr>
          <w:b/>
        </w:rPr>
        <w:t>nge zwischen verschiedenen biologischen Ebenen</w:t>
      </w:r>
      <w:r>
        <w:rPr>
          <w:rFonts w:eastAsia="Georgia" w:hAnsi="Georgia" w:cs="Georgia"/>
        </w:rPr>
        <w:t xml:space="preserve"> (z.B. Genotyp vs. Phänotyp) erkennen, die zuvor nicht leicht zugänglich waren</w:t>
      </w:r>
    </w:p>
    <w:p w14:paraId="1AE3AE97" w14:textId="7B9B8CEE" w:rsidR="0053547C" w:rsidRPr="007E015A" w:rsidRDefault="007E015A">
      <w:pPr>
        <w:numPr>
          <w:ilvl w:val="0"/>
          <w:numId w:val="21"/>
        </w:numPr>
      </w:pPr>
      <w:r>
        <w:rPr>
          <w:rFonts w:eastAsia="Georgia" w:hAnsi="Georgia" w:cs="Georgia"/>
        </w:rPr>
        <w:t>Dies ermöglicht völlig neue biomedizinische Erkenntnisse, die de</w:t>
      </w:r>
      <w:r w:rsidR="000C2A6E">
        <w:rPr>
          <w:rFonts w:eastAsia="Georgia" w:hAnsi="Georgia" w:cs="Georgia"/>
        </w:rPr>
        <w:t>n</w:t>
      </w:r>
      <w:r>
        <w:rPr>
          <w:rFonts w:eastAsia="Georgia" w:hAnsi="Georgia" w:cs="Georgia"/>
        </w:rPr>
        <w:t xml:space="preserve"> Ursprung komplexer Krankheitsmechanismen aufklären können</w:t>
      </w:r>
    </w:p>
    <w:p w14:paraId="3928884E" w14:textId="77777777" w:rsidR="007E015A" w:rsidRDefault="007E015A" w:rsidP="007E015A">
      <w:pPr>
        <w:ind w:left="720"/>
      </w:pPr>
    </w:p>
    <w:p w14:paraId="2BAD8DC8" w14:textId="77777777" w:rsidR="0053547C" w:rsidRDefault="007E015A" w:rsidP="007E015A">
      <w:pPr>
        <w:pStyle w:val="berschrift2"/>
      </w:pPr>
      <w:bookmarkStart w:id="31" w:name="bm_4_3_maschinelle_verarbeitbarke_7abab2"/>
      <w:bookmarkStart w:id="32" w:name="_Toc216791232"/>
      <w:r>
        <w:t>4.3 Maschinelle Verarbeitbarkeit und semantische Konsistenz</w:t>
      </w:r>
      <w:bookmarkEnd w:id="31"/>
      <w:bookmarkEnd w:id="32"/>
    </w:p>
    <w:p w14:paraId="5355FE58" w14:textId="77777777" w:rsidR="007E015A" w:rsidRPr="007E015A" w:rsidRDefault="007E015A" w:rsidP="007E015A"/>
    <w:p w14:paraId="3C24F61B" w14:textId="77777777" w:rsidR="0053547C" w:rsidRDefault="007E015A">
      <w:pPr>
        <w:spacing w:after="210"/>
      </w:pPr>
      <w:r>
        <w:rPr>
          <w:rFonts w:eastAsia="Georgia" w:hAnsi="Georgia" w:cs="Georgia"/>
        </w:rPr>
        <w:t>Für den Einsatz von künstlicher Intelligenz sind strukturelle und semantische Konsistenz der Daten zwingend erforderlich:</w:t>
      </w:r>
    </w:p>
    <w:p w14:paraId="71022DBA" w14:textId="77777777" w:rsidR="0053547C" w:rsidRDefault="007E015A">
      <w:pPr>
        <w:spacing w:after="210"/>
      </w:pPr>
      <w:r>
        <w:rPr>
          <w:b/>
        </w:rPr>
        <w:t>Maschinelle Lesbarkeit:</w:t>
      </w:r>
    </w:p>
    <w:p w14:paraId="7BA13ED7" w14:textId="77777777" w:rsidR="0053547C" w:rsidRDefault="007E015A">
      <w:pPr>
        <w:numPr>
          <w:ilvl w:val="0"/>
          <w:numId w:val="22"/>
        </w:numPr>
      </w:pPr>
      <w:r>
        <w:rPr>
          <w:rFonts w:eastAsia="Georgia" w:hAnsi="Georgia" w:cs="Georgia"/>
        </w:rPr>
        <w:t xml:space="preserve">Interoperable Metadaten stellen sicher, dass eine Variable wie „Blutdruck" konsortium- und systemübergreifend </w:t>
      </w:r>
      <w:r>
        <w:rPr>
          <w:b/>
        </w:rPr>
        <w:t>exakt identisch definiert</w:t>
      </w:r>
      <w:r>
        <w:t xml:space="preserve"> ist</w:t>
      </w:r>
    </w:p>
    <w:p w14:paraId="73F4AB20" w14:textId="2BB6704A" w:rsidR="0053547C" w:rsidRDefault="007E015A">
      <w:pPr>
        <w:numPr>
          <w:ilvl w:val="0"/>
          <w:numId w:val="22"/>
        </w:numPr>
      </w:pPr>
      <w:r>
        <w:rPr>
          <w:rFonts w:eastAsia="Georgia" w:hAnsi="Georgia" w:cs="Georgia"/>
        </w:rPr>
        <w:lastRenderedPageBreak/>
        <w:t xml:space="preserve">Dies ermöglicht es </w:t>
      </w:r>
      <w:r>
        <w:rPr>
          <w:b/>
        </w:rPr>
        <w:t>KI-Agenten</w:t>
      </w:r>
      <w:r>
        <w:rPr>
          <w:rFonts w:eastAsia="Georgia" w:hAnsi="Georgia" w:cs="Georgia"/>
        </w:rPr>
        <w:t xml:space="preserve">, Daten über Institutionsgrenzen hinweg zu </w:t>
      </w:r>
      <w:r w:rsidR="000C2A6E">
        <w:rPr>
          <w:rFonts w:eastAsia="Georgia" w:hAnsi="Georgia" w:cs="Georgia"/>
        </w:rPr>
        <w:t>erreichen</w:t>
      </w:r>
      <w:r>
        <w:rPr>
          <w:rFonts w:eastAsia="Georgia" w:hAnsi="Georgia" w:cs="Georgia"/>
        </w:rPr>
        <w:t xml:space="preserve"> und zu analysieren, ohne dass menschliche Intervention zur Bereinigung oder Interpretation erforderlich wäre</w:t>
      </w:r>
    </w:p>
    <w:p w14:paraId="0C55CF8F" w14:textId="77777777" w:rsidR="0053547C" w:rsidRDefault="007E015A">
      <w:pPr>
        <w:spacing w:after="210"/>
      </w:pPr>
      <w:r>
        <w:rPr>
          <w:b/>
        </w:rPr>
        <w:t>Robustheit von Algorithmen:</w:t>
      </w:r>
    </w:p>
    <w:p w14:paraId="530847D6" w14:textId="77777777" w:rsidR="0053547C" w:rsidRDefault="007E015A">
      <w:pPr>
        <w:numPr>
          <w:ilvl w:val="0"/>
          <w:numId w:val="23"/>
        </w:numPr>
      </w:pPr>
      <w:r>
        <w:rPr>
          <w:rFonts w:eastAsia="Georgia" w:hAnsi="Georgia" w:cs="Georgia"/>
        </w:rPr>
        <w:t xml:space="preserve">Dadurch können </w:t>
      </w:r>
      <w:r>
        <w:rPr>
          <w:b/>
        </w:rPr>
        <w:t>robuste, unverzerrte Algorithmen</w:t>
      </w:r>
      <w:r>
        <w:t xml:space="preserve"> trainiert werden</w:t>
      </w:r>
    </w:p>
    <w:p w14:paraId="7FB8C0FE" w14:textId="13C7869D" w:rsidR="0053547C" w:rsidRPr="007E015A" w:rsidRDefault="007E015A">
      <w:pPr>
        <w:numPr>
          <w:ilvl w:val="0"/>
          <w:numId w:val="23"/>
        </w:numPr>
      </w:pPr>
      <w:r>
        <w:rPr>
          <w:rFonts w:eastAsia="Georgia" w:hAnsi="Georgia" w:cs="Georgia"/>
        </w:rPr>
        <w:t>Die Qualität und Verallgemeinbarkeit von Machine-Learning-Modellen wird erheblich verbessert</w:t>
      </w:r>
    </w:p>
    <w:p w14:paraId="6D3E8948" w14:textId="77777777" w:rsidR="007E015A" w:rsidRDefault="007E015A" w:rsidP="007E015A">
      <w:pPr>
        <w:ind w:left="720"/>
      </w:pPr>
    </w:p>
    <w:p w14:paraId="6DD0D1D2" w14:textId="77777777" w:rsidR="0053547C" w:rsidRDefault="007E015A" w:rsidP="007E015A">
      <w:pPr>
        <w:pStyle w:val="berschrift2"/>
      </w:pPr>
      <w:bookmarkStart w:id="33" w:name="bm_4_4_skalierbare_reproduzierbar_edc061"/>
      <w:bookmarkStart w:id="34" w:name="_Toc216791233"/>
      <w:r>
        <w:t>4.4 Skalierbare Reproduzierbarkeit und Meta-Analysen</w:t>
      </w:r>
      <w:bookmarkEnd w:id="33"/>
      <w:bookmarkEnd w:id="34"/>
    </w:p>
    <w:p w14:paraId="572BCECD" w14:textId="77777777" w:rsidR="007E015A" w:rsidRPr="007E015A" w:rsidRDefault="007E015A" w:rsidP="007E015A"/>
    <w:p w14:paraId="7F0E67BC" w14:textId="77777777" w:rsidR="0053547C" w:rsidRDefault="007E015A">
      <w:pPr>
        <w:spacing w:after="210"/>
      </w:pPr>
      <w:r>
        <w:t xml:space="preserve">Standardisierte Metadaten transformieren </w:t>
      </w:r>
      <w:r>
        <w:rPr>
          <w:b/>
        </w:rPr>
        <w:t>lokale Forschungsergebnisse in globales Wissen</w:t>
      </w:r>
      <w:r>
        <w:t>:</w:t>
      </w:r>
    </w:p>
    <w:p w14:paraId="66AEA0A3" w14:textId="77777777" w:rsidR="0053547C" w:rsidRDefault="007E015A">
      <w:pPr>
        <w:spacing w:after="210"/>
      </w:pPr>
      <w:r>
        <w:rPr>
          <w:b/>
        </w:rPr>
        <w:t>Reproduzierbarkeit:</w:t>
      </w:r>
    </w:p>
    <w:p w14:paraId="54558B78" w14:textId="77777777" w:rsidR="0053547C" w:rsidRDefault="007E015A">
      <w:pPr>
        <w:numPr>
          <w:ilvl w:val="0"/>
          <w:numId w:val="24"/>
        </w:numPr>
      </w:pPr>
      <w:r>
        <w:rPr>
          <w:rFonts w:eastAsia="Georgia" w:hAnsi="Georgia" w:cs="Georgia"/>
        </w:rPr>
        <w:t>Wenn Metadaten globalen Standards entsprechen, ist der experimentelle Kontext (Assay-Typen, Maschineneinstellungen, Analyseparameter) universell verständlich</w:t>
      </w:r>
    </w:p>
    <w:p w14:paraId="70D456E7" w14:textId="7CF1BE0A" w:rsidR="0053547C" w:rsidRDefault="007E015A">
      <w:pPr>
        <w:numPr>
          <w:ilvl w:val="0"/>
          <w:numId w:val="24"/>
        </w:numPr>
      </w:pPr>
      <w:r>
        <w:rPr>
          <w:rFonts w:eastAsia="Georgia" w:hAnsi="Georgia" w:cs="Georgia"/>
        </w:rPr>
        <w:t xml:space="preserve">Dies ermöglicht es </w:t>
      </w:r>
      <w:r>
        <w:rPr>
          <w:b/>
        </w:rPr>
        <w:t>unabh</w:t>
      </w:r>
      <w:r>
        <w:rPr>
          <w:b/>
        </w:rPr>
        <w:t>ä</w:t>
      </w:r>
      <w:r>
        <w:rPr>
          <w:b/>
        </w:rPr>
        <w:t>ngigen Laboren</w:t>
      </w:r>
      <w:r>
        <w:rPr>
          <w:rFonts w:eastAsia="Georgia" w:hAnsi="Georgia" w:cs="Georgia"/>
        </w:rPr>
        <w:t xml:space="preserve">, Studien präzise zu replizieren oder durch Meta-Analysen kleine Datensätze zu großen Kohorten zu </w:t>
      </w:r>
      <w:r w:rsidR="000C2A6E">
        <w:rPr>
          <w:rFonts w:eastAsia="Georgia" w:hAnsi="Georgia" w:cs="Georgia"/>
        </w:rPr>
        <w:t>aggregieren</w:t>
      </w:r>
    </w:p>
    <w:p w14:paraId="1D16D3BB" w14:textId="77777777" w:rsidR="0053547C" w:rsidRDefault="007E015A">
      <w:pPr>
        <w:spacing w:after="210"/>
      </w:pPr>
      <w:r>
        <w:rPr>
          <w:b/>
        </w:rPr>
        <w:t>Wissenschaftlicher Impact:</w:t>
      </w:r>
    </w:p>
    <w:p w14:paraId="0FC5717F" w14:textId="5A654311" w:rsidR="0053547C" w:rsidRDefault="007E015A">
      <w:pPr>
        <w:numPr>
          <w:ilvl w:val="0"/>
          <w:numId w:val="25"/>
        </w:numPr>
      </w:pPr>
      <w:r>
        <w:t xml:space="preserve">Meta-Analysen </w:t>
      </w:r>
      <w:r w:rsidR="000C2A6E">
        <w:t xml:space="preserve">erhalten </w:t>
      </w:r>
      <w:r>
        <w:t xml:space="preserve">eine </w:t>
      </w:r>
      <w:r>
        <w:rPr>
          <w:b/>
        </w:rPr>
        <w:t>deutlich h</w:t>
      </w:r>
      <w:r>
        <w:rPr>
          <w:b/>
        </w:rPr>
        <w:t>ö</w:t>
      </w:r>
      <w:r>
        <w:rPr>
          <w:b/>
        </w:rPr>
        <w:t xml:space="preserve">here statistische </w:t>
      </w:r>
      <w:r w:rsidR="000C2A6E">
        <w:rPr>
          <w:b/>
        </w:rPr>
        <w:t>Aussagekraft</w:t>
      </w:r>
    </w:p>
    <w:p w14:paraId="249FD055" w14:textId="77777777" w:rsidR="0053547C" w:rsidRDefault="007E015A">
      <w:pPr>
        <w:numPr>
          <w:ilvl w:val="0"/>
          <w:numId w:val="25"/>
        </w:numPr>
      </w:pPr>
      <w:r>
        <w:t>Die Validierung neuer Behandlungen wird beschleunigt</w:t>
      </w:r>
    </w:p>
    <w:p w14:paraId="22081363" w14:textId="77777777" w:rsidR="0053547C" w:rsidRDefault="007E015A">
      <w:pPr>
        <w:numPr>
          <w:ilvl w:val="0"/>
          <w:numId w:val="25"/>
        </w:numPr>
      </w:pPr>
      <w:r>
        <w:rPr>
          <w:rFonts w:eastAsia="Georgia" w:hAnsi="Georgia" w:cs="Georgia"/>
        </w:rPr>
        <w:t>Neue transdisziplinäre Erkenntnisse entstehen durch die Kombination bisher isolierter Datenquellen</w:t>
      </w:r>
    </w:p>
    <w:p w14:paraId="2ADC93E2" w14:textId="77777777" w:rsidR="0053547C" w:rsidRDefault="00223D23">
      <w:r>
        <w:rPr>
          <w:noProof/>
        </w:rPr>
        <w:pict w14:anchorId="75F69AC6">
          <v:rect id="_x0000_i1029" alt="" style="width:434.5pt;height:.05pt;mso-width-percent:0;mso-height-percent:0;mso-width-percent:0;mso-height-percent:0" o:hralign="center" o:hrstd="t" o:hr="t"/>
        </w:pict>
      </w:r>
    </w:p>
    <w:p w14:paraId="6B22138D" w14:textId="77777777" w:rsidR="0053547C" w:rsidRDefault="007E015A" w:rsidP="007E015A">
      <w:pPr>
        <w:pStyle w:val="berschrift1"/>
        <w:rPr>
          <w:rFonts w:eastAsia="Georgia"/>
        </w:rPr>
      </w:pPr>
      <w:bookmarkStart w:id="35" w:name="bm_5_die_vision_metadaten_interop_ad4565"/>
      <w:bookmarkStart w:id="36" w:name="_Toc216791234"/>
      <w:r>
        <w:rPr>
          <w:rFonts w:eastAsia="Georgia"/>
        </w:rPr>
        <w:t>5. Die Vision: Metadaten-Interoperabilität in BioMed</w:t>
      </w:r>
      <w:bookmarkEnd w:id="35"/>
      <w:bookmarkEnd w:id="36"/>
    </w:p>
    <w:p w14:paraId="36629B40" w14:textId="77777777" w:rsidR="007E015A" w:rsidRPr="007E015A" w:rsidRDefault="007E015A" w:rsidP="007E015A"/>
    <w:p w14:paraId="1554E8E2" w14:textId="77777777" w:rsidR="0053547C" w:rsidRDefault="007E015A" w:rsidP="007E015A">
      <w:pPr>
        <w:pStyle w:val="berschrift2"/>
        <w:rPr>
          <w:rFonts w:eastAsia="Georgia"/>
        </w:rPr>
      </w:pPr>
      <w:bookmarkStart w:id="37" w:name="bm_5_1_das_zukunftsszenario_one_s_fab8d3"/>
      <w:bookmarkStart w:id="38" w:name="_Toc216791235"/>
      <w:r>
        <w:rPr>
          <w:rFonts w:eastAsia="Georgia"/>
        </w:rPr>
        <w:t>5.1 Das Zukunftsszenario: „One-Stop-Shop" für biomedizinische Daten</w:t>
      </w:r>
      <w:bookmarkEnd w:id="37"/>
      <w:bookmarkEnd w:id="38"/>
    </w:p>
    <w:p w14:paraId="6A81F36A" w14:textId="77777777" w:rsidR="007E015A" w:rsidRPr="007E015A" w:rsidRDefault="007E015A" w:rsidP="007E015A"/>
    <w:p w14:paraId="7576E5DD" w14:textId="77777777" w:rsidR="0053547C" w:rsidRDefault="007E015A">
      <w:pPr>
        <w:spacing w:after="210"/>
      </w:pPr>
      <w:r>
        <w:rPr>
          <w:rFonts w:eastAsia="Georgia" w:hAnsi="Georgia" w:cs="Georgia"/>
        </w:rPr>
        <w:t>Die BioMed-Konsortien verfolgen eine ambitionierte Vision für die Zukunft:</w:t>
      </w:r>
    </w:p>
    <w:p w14:paraId="6D5D3F3A" w14:textId="77777777" w:rsidR="0053547C" w:rsidRDefault="007E015A">
      <w:pPr>
        <w:spacing w:after="210"/>
      </w:pPr>
      <w:r>
        <w:rPr>
          <w:b/>
        </w:rPr>
        <w:t>Kernidee:</w:t>
      </w:r>
    </w:p>
    <w:p w14:paraId="2D4F7C4C" w14:textId="11ED0023" w:rsidR="0053547C" w:rsidRDefault="007E015A">
      <w:pPr>
        <w:spacing w:after="210"/>
      </w:pPr>
      <w:r>
        <w:t xml:space="preserve">Eine gemeinsame </w:t>
      </w:r>
      <w:r>
        <w:rPr>
          <w:b/>
        </w:rPr>
        <w:t>BioMed-Webseite</w:t>
      </w:r>
      <w:r>
        <w:rPr>
          <w:rFonts w:eastAsia="Georgia" w:hAnsi="Georgia" w:cs="Georgia"/>
        </w:rPr>
        <w:t xml:space="preserve"> soll es ermöglichen, eine übergeordnete Suche über alle von den Konsortien (GHGA, NFDI4Bioimage, NFDI4Health, NFDI4Immuno</w:t>
      </w:r>
      <w:r w:rsidR="000C2A6E">
        <w:rPr>
          <w:rFonts w:eastAsia="Georgia" w:hAnsi="Georgia" w:cs="Georgia"/>
        </w:rPr>
        <w:t xml:space="preserve"> &amp; NFDI4Microbiota</w:t>
      </w:r>
      <w:r>
        <w:rPr>
          <w:rFonts w:eastAsia="Georgia" w:hAnsi="Georgia" w:cs="Georgia"/>
        </w:rPr>
        <w:t xml:space="preserve">) bereitgestellten oder verwalteten Repositorien durchzuführen. Diese Suche soll auf Grundlage konsortium-übergreifend </w:t>
      </w:r>
      <w:r>
        <w:rPr>
          <w:b/>
        </w:rPr>
        <w:t>standardisierter Metadaten</w:t>
      </w:r>
      <w:r>
        <w:t xml:space="preserve"> funktionieren.</w:t>
      </w:r>
    </w:p>
    <w:p w14:paraId="5D603C8F" w14:textId="77777777" w:rsidR="0053547C" w:rsidRDefault="007E015A">
      <w:pPr>
        <w:spacing w:after="210"/>
      </w:pPr>
      <w:r>
        <w:rPr>
          <w:b/>
        </w:rPr>
        <w:t>Technische Implementierung:</w:t>
      </w:r>
    </w:p>
    <w:p w14:paraId="500028B1" w14:textId="2D6E0847" w:rsidR="0053547C" w:rsidRDefault="007E015A">
      <w:pPr>
        <w:numPr>
          <w:ilvl w:val="0"/>
          <w:numId w:val="26"/>
        </w:numPr>
      </w:pPr>
      <w:r>
        <w:t xml:space="preserve">Jeder Service bietet eindeutige </w:t>
      </w:r>
      <w:r>
        <w:rPr>
          <w:b/>
        </w:rPr>
        <w:t>Accession-IDs</w:t>
      </w:r>
      <w:r>
        <w:rPr>
          <w:rFonts w:eastAsia="Georgia" w:hAnsi="Georgia" w:cs="Georgia"/>
        </w:rPr>
        <w:t xml:space="preserve"> an, über die Datensätze konsortium-übergreifend verlinkt werden können</w:t>
      </w:r>
      <w:r w:rsidR="000C2A6E">
        <w:rPr>
          <w:rFonts w:eastAsia="Georgia" w:hAnsi="Georgia" w:cs="Georgia"/>
        </w:rPr>
        <w:t xml:space="preserve"> (z.B. mit Präfixen IMU/MIC/IMA/HEA/GHG)</w:t>
      </w:r>
    </w:p>
    <w:p w14:paraId="3125F9F9" w14:textId="77777777" w:rsidR="0053547C" w:rsidRDefault="007E015A">
      <w:pPr>
        <w:numPr>
          <w:ilvl w:val="0"/>
          <w:numId w:val="26"/>
        </w:numPr>
      </w:pPr>
      <w:r>
        <w:lastRenderedPageBreak/>
        <w:t xml:space="preserve">Dies schafft ein </w:t>
      </w:r>
      <w:r>
        <w:rPr>
          <w:b/>
        </w:rPr>
        <w:t>f</w:t>
      </w:r>
      <w:r>
        <w:rPr>
          <w:b/>
        </w:rPr>
        <w:t>ö</w:t>
      </w:r>
      <w:r>
        <w:rPr>
          <w:b/>
        </w:rPr>
        <w:t>deriertes System</w:t>
      </w:r>
      <w:r>
        <w:t>, bei dem einzelne Repositorien ihre Autonomie bewahren, gleichzeitig aber nahtlos miteinander verbunden sind</w:t>
      </w:r>
    </w:p>
    <w:p w14:paraId="2BF74924" w14:textId="77777777" w:rsidR="007E015A" w:rsidRDefault="007E015A" w:rsidP="007E015A">
      <w:pPr>
        <w:ind w:left="720"/>
      </w:pPr>
    </w:p>
    <w:p w14:paraId="18F39FF9" w14:textId="77777777" w:rsidR="0053547C" w:rsidRDefault="007E015A" w:rsidP="007E015A">
      <w:pPr>
        <w:pStyle w:val="berschrift2"/>
      </w:pPr>
      <w:bookmarkStart w:id="39" w:name="bm_5_2_must_haves_erforderliche_i_a6a322"/>
      <w:bookmarkStart w:id="40" w:name="_Toc216791236"/>
      <w:r>
        <w:t>5.2 Must-Haves: Erforderliche Implementierungsschritte</w:t>
      </w:r>
      <w:bookmarkEnd w:id="39"/>
      <w:bookmarkEnd w:id="40"/>
    </w:p>
    <w:p w14:paraId="31DE4DE2" w14:textId="77777777" w:rsidR="007E015A" w:rsidRPr="007E015A" w:rsidRDefault="007E015A" w:rsidP="007E015A"/>
    <w:p w14:paraId="554CD71E" w14:textId="77777777" w:rsidR="0053547C" w:rsidRDefault="007E015A">
      <w:pPr>
        <w:spacing w:after="210"/>
      </w:pPr>
      <w:r>
        <w:rPr>
          <w:rFonts w:eastAsia="Georgia" w:hAnsi="Georgia" w:cs="Georgia"/>
        </w:rPr>
        <w:t>Damit diese Vision Realität werden kann, sind folgende Mindestanforderungen zu erfüllen:</w:t>
      </w:r>
    </w:p>
    <w:p w14:paraId="7FE5748F" w14:textId="77777777" w:rsidR="0053547C" w:rsidRDefault="007E015A">
      <w:pPr>
        <w:numPr>
          <w:ilvl w:val="0"/>
          <w:numId w:val="27"/>
        </w:numPr>
      </w:pPr>
      <w:r>
        <w:rPr>
          <w:b/>
        </w:rPr>
        <w:t>Gemeinsames Metadaten-Verst</w:t>
      </w:r>
      <w:r>
        <w:rPr>
          <w:b/>
        </w:rPr>
        <w:t>ä</w:t>
      </w:r>
      <w:r>
        <w:rPr>
          <w:b/>
        </w:rPr>
        <w:t>ndnis:</w:t>
      </w:r>
      <w:r>
        <w:rPr>
          <w:rFonts w:eastAsia="Georgia" w:hAnsi="Georgia" w:cs="Georgia"/>
        </w:rPr>
        <w:t xml:space="preserve"> Einigung auf übergeordnete Metadaten-Strukturen und Konzepte, die alle Konsortien akzeptieren und implementieren</w:t>
      </w:r>
    </w:p>
    <w:p w14:paraId="20B589E9" w14:textId="77777777" w:rsidR="0053547C" w:rsidRDefault="007E015A">
      <w:pPr>
        <w:numPr>
          <w:ilvl w:val="0"/>
          <w:numId w:val="27"/>
        </w:numPr>
      </w:pPr>
      <w:r>
        <w:rPr>
          <w:b/>
        </w:rPr>
        <w:t>Minimaler gemeinsamer Metadaten-Satz:</w:t>
      </w:r>
      <w:r>
        <w:rPr>
          <w:rFonts w:eastAsia="Georgia" w:hAnsi="Georgia" w:cs="Georgia"/>
        </w:rPr>
        <w:t xml:space="preserve"> Definition eines standardisierten Minimums an Metadaten-Feldern, das für eine konsortium-übergreifende Suche erforderlich ist</w:t>
      </w:r>
    </w:p>
    <w:p w14:paraId="6F788223" w14:textId="77777777" w:rsidR="0053547C" w:rsidRDefault="007E015A">
      <w:pPr>
        <w:numPr>
          <w:ilvl w:val="0"/>
          <w:numId w:val="27"/>
        </w:numPr>
      </w:pPr>
      <w:r>
        <w:rPr>
          <w:b/>
        </w:rPr>
        <w:t>Semantische Harmonisierung:</w:t>
      </w:r>
      <w:r>
        <w:rPr>
          <w:rFonts w:eastAsia="Georgia" w:hAnsi="Georgia" w:cs="Georgia"/>
        </w:rPr>
        <w:t xml:space="preserve"> Definition übergeordneter Einigungen bezüglich der Semantik (Inhalt) wichtiger Felder – insbesondere Wahl und Mapping von Ontologien</w:t>
      </w:r>
    </w:p>
    <w:p w14:paraId="7D257864" w14:textId="77777777" w:rsidR="0053547C" w:rsidRDefault="007E015A">
      <w:pPr>
        <w:numPr>
          <w:ilvl w:val="0"/>
          <w:numId w:val="27"/>
        </w:numPr>
      </w:pPr>
      <w:r>
        <w:rPr>
          <w:b/>
        </w:rPr>
        <w:t>HealthDCAT AP Mapping:</w:t>
      </w:r>
      <w:r>
        <w:t xml:space="preserve"> Abbildung der konsortium-spezifischen Metadaten auf den Health Data Catalog Application Profile (DCAT AP)</w:t>
      </w:r>
    </w:p>
    <w:p w14:paraId="218881F3" w14:textId="77777777" w:rsidR="0053547C" w:rsidRPr="007E015A" w:rsidRDefault="007E015A">
      <w:pPr>
        <w:numPr>
          <w:ilvl w:val="0"/>
          <w:numId w:val="27"/>
        </w:numPr>
      </w:pPr>
      <w:r>
        <w:rPr>
          <w:b/>
        </w:rPr>
        <w:t>Datenschutz durch Aggregation:</w:t>
      </w:r>
      <w:r>
        <w:rPr>
          <w:rFonts w:eastAsia="Georgia" w:hAnsi="Georgia" w:cs="Georgia"/>
        </w:rPr>
        <w:t xml:space="preserve"> Suchergebnisse werden zwar basierend auf Krankheit, Alter, Geschlecht etc. gefiltert, die Ausgabe erfolgt aber lediglich auf aggregierter Studienebene (nicht auf Einzelfall-Ebene), um Datenschutz zu gewährleisten</w:t>
      </w:r>
    </w:p>
    <w:p w14:paraId="25EBBC0D" w14:textId="77777777" w:rsidR="007E015A" w:rsidRDefault="007E015A" w:rsidP="007E015A">
      <w:pPr>
        <w:ind w:left="720"/>
      </w:pPr>
    </w:p>
    <w:p w14:paraId="0CEE173B" w14:textId="77777777" w:rsidR="0053547C" w:rsidRDefault="007E015A" w:rsidP="007E015A">
      <w:pPr>
        <w:pStyle w:val="berschrift2"/>
        <w:rPr>
          <w:rFonts w:eastAsia="Georgia"/>
        </w:rPr>
      </w:pPr>
      <w:bookmarkStart w:id="41" w:name="bm_5_3_nice_to_haves_erweiterte_f_28ead9"/>
      <w:bookmarkStart w:id="42" w:name="_Toc216791237"/>
      <w:r>
        <w:rPr>
          <w:rFonts w:eastAsia="Georgia"/>
        </w:rPr>
        <w:t>5.3 Nice-to-Haves: Erweiterte Funktionalitäten</w:t>
      </w:r>
      <w:bookmarkEnd w:id="41"/>
      <w:bookmarkEnd w:id="42"/>
    </w:p>
    <w:p w14:paraId="5EE952EE" w14:textId="77777777" w:rsidR="007E015A" w:rsidRPr="007E015A" w:rsidRDefault="007E015A" w:rsidP="007E015A"/>
    <w:p w14:paraId="24FDDEA5" w14:textId="77777777" w:rsidR="0053547C" w:rsidRDefault="007E015A">
      <w:pPr>
        <w:spacing w:after="210"/>
      </w:pPr>
      <w:r>
        <w:rPr>
          <w:rFonts w:eastAsia="Georgia" w:hAnsi="Georgia" w:cs="Georgia"/>
        </w:rPr>
        <w:t>Darüber hinaus wurden folgende erweiterte Funktionen als wünschenswert identifiziert:</w:t>
      </w:r>
    </w:p>
    <w:p w14:paraId="3A5319DD" w14:textId="77777777" w:rsidR="0053547C" w:rsidRDefault="007E015A">
      <w:pPr>
        <w:numPr>
          <w:ilvl w:val="0"/>
          <w:numId w:val="28"/>
        </w:numPr>
      </w:pPr>
      <w:r>
        <w:rPr>
          <w:b/>
        </w:rPr>
        <w:t>NFDI-IDs f</w:t>
      </w:r>
      <w:r>
        <w:rPr>
          <w:b/>
        </w:rPr>
        <w:t>ü</w:t>
      </w:r>
      <w:r>
        <w:rPr>
          <w:b/>
        </w:rPr>
        <w:t>r Institutionen:</w:t>
      </w:r>
      <w:r>
        <w:rPr>
          <w:rFonts w:eastAsia="Georgia" w:hAnsi="Georgia" w:cs="Georgia"/>
        </w:rPr>
        <w:t xml:space="preserve"> Standardisierte Identifizierer für Forschungsinstitutionen</w:t>
      </w:r>
    </w:p>
    <w:p w14:paraId="2113F66C" w14:textId="77777777" w:rsidR="0053547C" w:rsidRDefault="007E015A">
      <w:pPr>
        <w:numPr>
          <w:ilvl w:val="0"/>
          <w:numId w:val="28"/>
        </w:numPr>
      </w:pPr>
      <w:r>
        <w:rPr>
          <w:b/>
        </w:rPr>
        <w:t>FHIR-Mapping:</w:t>
      </w:r>
      <w:r>
        <w:rPr>
          <w:rFonts w:eastAsia="Georgia" w:hAnsi="Georgia" w:cs="Georgia"/>
        </w:rPr>
        <w:t xml:space="preserve"> Vollständige Unterstützung des FHIR-Standards (wenn möglich)</w:t>
      </w:r>
    </w:p>
    <w:p w14:paraId="15E15D7C" w14:textId="77777777" w:rsidR="0053547C" w:rsidRDefault="007E015A">
      <w:pPr>
        <w:numPr>
          <w:ilvl w:val="0"/>
          <w:numId w:val="28"/>
        </w:numPr>
      </w:pPr>
      <w:r>
        <w:rPr>
          <w:b/>
        </w:rPr>
        <w:t>Semantische Vereinheitlichung:</w:t>
      </w:r>
      <w:r>
        <w:rPr>
          <w:rFonts w:eastAsia="Georgia" w:hAnsi="Georgia" w:cs="Georgia"/>
        </w:rPr>
        <w:t xml:space="preserve"> Tiefere Standards-Harmonisierung über DCAT hinaus</w:t>
      </w:r>
    </w:p>
    <w:p w14:paraId="01CC2622" w14:textId="77777777" w:rsidR="0053547C" w:rsidRDefault="007E015A">
      <w:pPr>
        <w:numPr>
          <w:ilvl w:val="0"/>
          <w:numId w:val="28"/>
        </w:numPr>
      </w:pPr>
      <w:r>
        <w:rPr>
          <w:b/>
        </w:rPr>
        <w:t>Metadaten-Crawling internationaler Repositorien:</w:t>
      </w:r>
      <w:r>
        <w:t xml:space="preserve"> Automatische Erfassung von Metadaten aus internationalen Datenquellen</w:t>
      </w:r>
    </w:p>
    <w:p w14:paraId="0FDF8FCA" w14:textId="77777777" w:rsidR="0053547C" w:rsidRDefault="007E015A">
      <w:pPr>
        <w:numPr>
          <w:ilvl w:val="0"/>
          <w:numId w:val="28"/>
        </w:numPr>
      </w:pPr>
      <w:r>
        <w:rPr>
          <w:b/>
        </w:rPr>
        <w:t>Automatische NFDI-ID-Erstellung:</w:t>
      </w:r>
      <w:r>
        <w:rPr>
          <w:rFonts w:eastAsia="Georgia" w:hAnsi="Georgia" w:cs="Georgia"/>
        </w:rPr>
        <w:t xml:space="preserve"> Wenn Daten über NFDI-Services bei anderen Repositorien hochgeladen werden, automatische ID-Erstellung</w:t>
      </w:r>
    </w:p>
    <w:p w14:paraId="0E9BFD06" w14:textId="77777777" w:rsidR="0053547C" w:rsidRDefault="007E015A">
      <w:pPr>
        <w:numPr>
          <w:ilvl w:val="0"/>
          <w:numId w:val="28"/>
        </w:numPr>
      </w:pPr>
      <w:r>
        <w:rPr>
          <w:b/>
        </w:rPr>
        <w:t>FAIRification bei externen Repositorien:</w:t>
      </w:r>
      <w:r>
        <w:rPr>
          <w:rFonts w:eastAsia="Georgia" w:hAnsi="Georgia" w:cs="Georgia"/>
        </w:rPr>
        <w:t xml:space="preserve"> Verbessern der FAIR-Konformität von Daten, auch wenn diese bei anderen internationalen Repositorien gehostet werden</w:t>
      </w:r>
    </w:p>
    <w:p w14:paraId="114681FC" w14:textId="351CC61A" w:rsidR="0053547C" w:rsidRDefault="007E015A">
      <w:pPr>
        <w:numPr>
          <w:ilvl w:val="0"/>
          <w:numId w:val="28"/>
        </w:numPr>
      </w:pPr>
      <w:r>
        <w:rPr>
          <w:b/>
        </w:rPr>
        <w:t>Knowledge Graph Implementation:</w:t>
      </w:r>
      <w:r>
        <w:rPr>
          <w:rFonts w:eastAsia="Georgia" w:hAnsi="Georgia" w:cs="Georgia"/>
        </w:rPr>
        <w:t xml:space="preserve"> Graphenbasierte Darstellung von Beziehungen zwischen Entitäten (Proben, Studien, Phänotypen) zur Unterstützung von komplexen </w:t>
      </w:r>
      <w:r w:rsidR="00335C99">
        <w:rPr>
          <w:rFonts w:eastAsia="Georgia" w:hAnsi="Georgia" w:cs="Georgia"/>
        </w:rPr>
        <w:t>Anfragen</w:t>
      </w:r>
    </w:p>
    <w:p w14:paraId="58F559DE" w14:textId="77777777" w:rsidR="0053547C" w:rsidRDefault="00223D23">
      <w:r>
        <w:rPr>
          <w:noProof/>
        </w:rPr>
        <w:pict w14:anchorId="109C9226">
          <v:rect id="_x0000_i1030" alt="" style="width:434.5pt;height:.05pt;mso-width-percent:0;mso-height-percent:0;mso-width-percent:0;mso-height-percent:0" o:hralign="center" o:hrstd="t" o:hr="t"/>
        </w:pict>
      </w:r>
    </w:p>
    <w:p w14:paraId="578571C3" w14:textId="38A7E691" w:rsidR="0053547C" w:rsidRDefault="007E015A" w:rsidP="007E015A">
      <w:pPr>
        <w:pStyle w:val="berschrift1"/>
        <w:numPr>
          <w:ilvl w:val="0"/>
          <w:numId w:val="27"/>
        </w:numPr>
      </w:pPr>
      <w:bookmarkStart w:id="43" w:name="bm_6_roadmap_pfad_zur_umsetzung"/>
      <w:bookmarkStart w:id="44" w:name="_Toc216791238"/>
      <w:r>
        <w:lastRenderedPageBreak/>
        <w:t>Roadmap: Pfad zur Umsetzung</w:t>
      </w:r>
      <w:bookmarkEnd w:id="43"/>
      <w:bookmarkEnd w:id="44"/>
    </w:p>
    <w:p w14:paraId="0CABDF73" w14:textId="77777777" w:rsidR="007E015A" w:rsidRPr="007E015A" w:rsidRDefault="007E015A" w:rsidP="007E015A">
      <w:pPr>
        <w:pStyle w:val="Listenabsatz"/>
      </w:pPr>
    </w:p>
    <w:p w14:paraId="356A370F" w14:textId="77777777" w:rsidR="0053547C" w:rsidRDefault="007E015A" w:rsidP="007E015A">
      <w:pPr>
        <w:pStyle w:val="berschrift2"/>
        <w:rPr>
          <w:rFonts w:eastAsia="Georgia"/>
        </w:rPr>
      </w:pPr>
      <w:bookmarkStart w:id="45" w:name="bm_6_1_sofortmaßnahmen"/>
      <w:bookmarkStart w:id="46" w:name="_Toc216791239"/>
      <w:r>
        <w:rPr>
          <w:rFonts w:eastAsia="Georgia"/>
        </w:rPr>
        <w:t>6.1 Sofortmaßnahmen</w:t>
      </w:r>
      <w:bookmarkEnd w:id="45"/>
      <w:bookmarkEnd w:id="46"/>
    </w:p>
    <w:p w14:paraId="030DEED9" w14:textId="77777777" w:rsidR="007E015A" w:rsidRPr="007E015A" w:rsidRDefault="007E015A" w:rsidP="007E015A"/>
    <w:p w14:paraId="46CEFF88" w14:textId="77777777" w:rsidR="0053547C" w:rsidRDefault="007E015A">
      <w:pPr>
        <w:spacing w:after="210"/>
      </w:pPr>
      <w:r>
        <w:rPr>
          <w:b/>
        </w:rPr>
        <w:t>Kl</w:t>
      </w:r>
      <w:r>
        <w:rPr>
          <w:b/>
        </w:rPr>
        <w:t>ä</w:t>
      </w:r>
      <w:r>
        <w:rPr>
          <w:b/>
        </w:rPr>
        <w:t>rung der Positionen (Q1 2026):</w:t>
      </w:r>
    </w:p>
    <w:p w14:paraId="0E2DF062" w14:textId="77777777" w:rsidR="0053547C" w:rsidRDefault="007E015A">
      <w:pPr>
        <w:numPr>
          <w:ilvl w:val="0"/>
          <w:numId w:val="29"/>
        </w:numPr>
      </w:pPr>
      <w:r>
        <w:rPr>
          <w:rFonts w:eastAsia="Georgia" w:hAnsi="Georgia" w:cs="Georgia"/>
        </w:rPr>
        <w:t>Jedes Konsortium dokumentiert seinen Status bezüglich HealthDCAT und FHIR-Mapping</w:t>
      </w:r>
    </w:p>
    <w:p w14:paraId="136B8944" w14:textId="77777777" w:rsidR="0053547C" w:rsidRDefault="007E015A">
      <w:pPr>
        <w:numPr>
          <w:ilvl w:val="0"/>
          <w:numId w:val="29"/>
        </w:numPr>
      </w:pPr>
      <w:r>
        <w:rPr>
          <w:rFonts w:eastAsia="Georgia" w:hAnsi="Georgia" w:cs="Georgia"/>
        </w:rPr>
        <w:t>Dies ermöglicht eine realistische Einschätzung des Umsetzungsaufwands</w:t>
      </w:r>
    </w:p>
    <w:p w14:paraId="1F7DA8E2" w14:textId="77777777" w:rsidR="0053547C" w:rsidRDefault="007E015A">
      <w:pPr>
        <w:spacing w:after="210"/>
      </w:pPr>
      <w:r>
        <w:rPr>
          <w:b/>
        </w:rPr>
        <w:t>Etablierung einer gemeinsamen Terminologie:</w:t>
      </w:r>
    </w:p>
    <w:p w14:paraId="32C49BE7" w14:textId="77777777" w:rsidR="0053547C" w:rsidRDefault="007E015A">
      <w:pPr>
        <w:numPr>
          <w:ilvl w:val="0"/>
          <w:numId w:val="30"/>
        </w:numPr>
      </w:pPr>
      <w:r>
        <w:t xml:space="preserve">Die Konsortien erarbeiten ein </w:t>
      </w:r>
      <w:r>
        <w:rPr>
          <w:b/>
        </w:rPr>
        <w:t>gemeinsames Vokabular</w:t>
      </w:r>
      <w:r>
        <w:rPr>
          <w:rFonts w:eastAsia="Georgia" w:hAnsi="Georgia" w:cs="Georgia"/>
        </w:rPr>
        <w:t>, um in künftigen Diskussionen nicht aneinander vorbeizureden</w:t>
      </w:r>
    </w:p>
    <w:p w14:paraId="3B9DB06E" w14:textId="77777777" w:rsidR="0053547C" w:rsidRPr="007E015A" w:rsidRDefault="007E015A">
      <w:pPr>
        <w:numPr>
          <w:ilvl w:val="0"/>
          <w:numId w:val="30"/>
        </w:numPr>
      </w:pPr>
      <w:r>
        <w:rPr>
          <w:rFonts w:eastAsia="Georgia" w:hAnsi="Georgia" w:cs="Georgia"/>
        </w:rPr>
        <w:t>Dies verhindert Missverständnisse und beschleunigt die technische Harmonisierung</w:t>
      </w:r>
    </w:p>
    <w:p w14:paraId="6B520353" w14:textId="77777777" w:rsidR="007E015A" w:rsidRDefault="007E015A" w:rsidP="007E015A">
      <w:pPr>
        <w:ind w:left="720"/>
      </w:pPr>
    </w:p>
    <w:p w14:paraId="2B8638B0" w14:textId="77777777" w:rsidR="0053547C" w:rsidRDefault="007E015A" w:rsidP="007E015A">
      <w:pPr>
        <w:pStyle w:val="berschrift2"/>
        <w:rPr>
          <w:rFonts w:eastAsia="Georgia"/>
        </w:rPr>
      </w:pPr>
      <w:bookmarkStart w:id="47" w:name="bm_6_2_mittelfristige_maßnahmen"/>
      <w:bookmarkStart w:id="48" w:name="_Toc216791240"/>
      <w:r>
        <w:rPr>
          <w:rFonts w:eastAsia="Georgia"/>
        </w:rPr>
        <w:t>6.2 Mittelfristige Maßnahmen</w:t>
      </w:r>
      <w:bookmarkEnd w:id="47"/>
      <w:bookmarkEnd w:id="48"/>
    </w:p>
    <w:p w14:paraId="5555D766" w14:textId="77777777" w:rsidR="007E015A" w:rsidRPr="007E015A" w:rsidRDefault="007E015A" w:rsidP="007E015A"/>
    <w:p w14:paraId="573991C7" w14:textId="77777777" w:rsidR="0053547C" w:rsidRDefault="007E015A">
      <w:pPr>
        <w:spacing w:after="210"/>
      </w:pPr>
      <w:r>
        <w:rPr>
          <w:b/>
        </w:rPr>
        <w:t>Ontologie-Mapping:</w:t>
      </w:r>
    </w:p>
    <w:p w14:paraId="569A50F7" w14:textId="77777777" w:rsidR="0053547C" w:rsidRDefault="007E015A">
      <w:pPr>
        <w:numPr>
          <w:ilvl w:val="0"/>
          <w:numId w:val="31"/>
        </w:numPr>
      </w:pPr>
      <w:r>
        <w:t>Systematische Erfassung aller verwendeten Ontologien pro Konsortium</w:t>
      </w:r>
    </w:p>
    <w:p w14:paraId="7920ED1E" w14:textId="77777777" w:rsidR="0053547C" w:rsidRDefault="007E015A">
      <w:pPr>
        <w:numPr>
          <w:ilvl w:val="0"/>
          <w:numId w:val="31"/>
        </w:numPr>
      </w:pPr>
      <w:r>
        <w:rPr>
          <w:rFonts w:eastAsia="Georgia" w:hAnsi="Georgia" w:cs="Georgia"/>
        </w:rPr>
        <w:t>Identifikation von Überschneidungen zwischen den Ontologien (z.B. NCBItaxon, ICD-10, UBERON, SNOMED, LOINC, NCIT, BRENDA Tissue Ontology)</w:t>
      </w:r>
    </w:p>
    <w:p w14:paraId="7F358C7C" w14:textId="77777777" w:rsidR="0053547C" w:rsidRDefault="007E015A">
      <w:pPr>
        <w:numPr>
          <w:ilvl w:val="0"/>
          <w:numId w:val="31"/>
        </w:numPr>
      </w:pPr>
      <w:r>
        <w:rPr>
          <w:rFonts w:eastAsia="Georgia" w:hAnsi="Georgia" w:cs="Georgia"/>
        </w:rPr>
        <w:t>Erstellung von Mapping-Dokumenten für diese Ontologien</w:t>
      </w:r>
    </w:p>
    <w:p w14:paraId="445B632A" w14:textId="77777777" w:rsidR="0053547C" w:rsidRDefault="007E015A">
      <w:pPr>
        <w:numPr>
          <w:ilvl w:val="0"/>
          <w:numId w:val="31"/>
        </w:numPr>
      </w:pPr>
      <w:r>
        <w:rPr>
          <w:rFonts w:eastAsia="Georgia" w:hAnsi="Georgia" w:cs="Georgia"/>
        </w:rPr>
        <w:t>Dies schafft die Grundlage für semantische Interoperabilität</w:t>
      </w:r>
    </w:p>
    <w:p w14:paraId="00F80E50" w14:textId="77777777" w:rsidR="0053547C" w:rsidRDefault="007E015A">
      <w:pPr>
        <w:spacing w:after="210"/>
      </w:pPr>
      <w:r>
        <w:rPr>
          <w:b/>
        </w:rPr>
        <w:t>NFDI4Health</w:t>
      </w:r>
      <w:r>
        <w:rPr>
          <w:b/>
        </w:rPr>
        <w:t>–</w:t>
      </w:r>
      <w:r>
        <w:rPr>
          <w:b/>
        </w:rPr>
        <w:t>GHGA Mapping:</w:t>
      </w:r>
    </w:p>
    <w:p w14:paraId="4749D48D" w14:textId="5D57DED6" w:rsidR="0053547C" w:rsidRDefault="007E015A">
      <w:pPr>
        <w:numPr>
          <w:ilvl w:val="0"/>
          <w:numId w:val="32"/>
        </w:numPr>
      </w:pPr>
      <w:r>
        <w:rPr>
          <w:rFonts w:eastAsia="Georgia" w:hAnsi="Georgia" w:cs="Georgia"/>
        </w:rPr>
        <w:t>Tiefergehendes Mapping zwischen den Metadaten-Standards der beiden größten Konsortien</w:t>
      </w:r>
      <w:r w:rsidR="00335C99">
        <w:rPr>
          <w:rFonts w:eastAsia="Georgia" w:hAnsi="Georgia" w:cs="Georgia"/>
        </w:rPr>
        <w:t xml:space="preserve"> wurde von älteren Versionen bereits versucht. Aus dem Vorgang können wir lernen</w:t>
      </w:r>
    </w:p>
    <w:p w14:paraId="766BF59E" w14:textId="77777777" w:rsidR="0053547C" w:rsidRDefault="007E015A">
      <w:pPr>
        <w:spacing w:after="210"/>
      </w:pPr>
      <w:r>
        <w:rPr>
          <w:b/>
        </w:rPr>
        <w:t>HealthDCAT und FHIR Implementation:</w:t>
      </w:r>
    </w:p>
    <w:p w14:paraId="26BAB63F" w14:textId="77777777" w:rsidR="0053547C" w:rsidRDefault="007E015A">
      <w:pPr>
        <w:numPr>
          <w:ilvl w:val="0"/>
          <w:numId w:val="33"/>
        </w:numPr>
      </w:pPr>
      <w:r>
        <w:t>Schrittweise Implementierung dieser Standards in den Konsortien, die dies noch nicht getan haben</w:t>
      </w:r>
    </w:p>
    <w:p w14:paraId="7D720B2D" w14:textId="77777777" w:rsidR="007E015A" w:rsidRDefault="007E015A" w:rsidP="007E015A">
      <w:pPr>
        <w:ind w:left="720"/>
      </w:pPr>
    </w:p>
    <w:p w14:paraId="629807F2" w14:textId="77777777" w:rsidR="0053547C" w:rsidRDefault="00223D23">
      <w:r>
        <w:rPr>
          <w:noProof/>
        </w:rPr>
        <w:pict w14:anchorId="619F64CA">
          <v:rect id="_x0000_i1031" alt="" style="width:434.5pt;height:.05pt;mso-width-percent:0;mso-height-percent:0;mso-width-percent:0;mso-height-percent:0" o:hralign="center" o:hrstd="t" o:hr="t"/>
        </w:pict>
      </w:r>
    </w:p>
    <w:p w14:paraId="7D75AC59" w14:textId="77777777" w:rsidR="0053547C" w:rsidRDefault="007E015A" w:rsidP="007E015A">
      <w:pPr>
        <w:pStyle w:val="berschrift1"/>
      </w:pPr>
      <w:bookmarkStart w:id="49" w:name="_Toc216791241"/>
      <w:r>
        <w:t xml:space="preserve">7. </w:t>
      </w:r>
      <w:bookmarkStart w:id="50" w:name="bm_7_schlussfolgerung_die_notwend_15ecfc"/>
      <w:r>
        <w:t>Schlussfolgerung: Die Notwendigkeit der Metadaten-Harmonisierung</w:t>
      </w:r>
      <w:bookmarkEnd w:id="50"/>
      <w:bookmarkEnd w:id="49"/>
    </w:p>
    <w:p w14:paraId="711F7225" w14:textId="77777777" w:rsidR="007E015A" w:rsidRPr="007E015A" w:rsidRDefault="007E015A" w:rsidP="007E015A"/>
    <w:p w14:paraId="2661BF94" w14:textId="77777777" w:rsidR="0053547C" w:rsidRDefault="007E015A" w:rsidP="007E015A">
      <w:pPr>
        <w:pStyle w:val="berschrift2"/>
        <w:rPr>
          <w:rFonts w:eastAsia="Georgia"/>
        </w:rPr>
      </w:pPr>
      <w:bookmarkStart w:id="51" w:name="bm_7_1_kritische_bedeutung_für_di_e9eaf7"/>
      <w:bookmarkStart w:id="52" w:name="_Toc216791242"/>
      <w:r>
        <w:rPr>
          <w:rFonts w:eastAsia="Georgia"/>
        </w:rPr>
        <w:t>7.1 Kritische Bedeutung für die Zukunft</w:t>
      </w:r>
      <w:bookmarkEnd w:id="51"/>
      <w:bookmarkEnd w:id="52"/>
    </w:p>
    <w:p w14:paraId="5F018C17" w14:textId="77777777" w:rsidR="007E015A" w:rsidRPr="007E015A" w:rsidRDefault="007E015A" w:rsidP="007E015A"/>
    <w:p w14:paraId="0EFF6450" w14:textId="77777777" w:rsidR="0053547C" w:rsidRDefault="007E015A">
      <w:pPr>
        <w:spacing w:after="210"/>
      </w:pPr>
      <w:r>
        <w:rPr>
          <w:rFonts w:eastAsia="Georgia" w:hAnsi="Georgia" w:cs="Georgia"/>
        </w:rPr>
        <w:t xml:space="preserve">Die Harmonisierung von Metadaten über alle BioMed-Konsortien hinweg ist nicht länger optional, sondern eine </w:t>
      </w:r>
      <w:r>
        <w:rPr>
          <w:b/>
        </w:rPr>
        <w:t>strategische Notwendigkeit</w:t>
      </w:r>
      <w:r>
        <w:rPr>
          <w:rFonts w:eastAsia="Georgia" w:hAnsi="Georgia" w:cs="Georgia"/>
        </w:rPr>
        <w:t>. Dies aus mehreren Gründen:</w:t>
      </w:r>
    </w:p>
    <w:p w14:paraId="76B818D7" w14:textId="77777777" w:rsidR="0053547C" w:rsidRDefault="007E015A">
      <w:pPr>
        <w:spacing w:after="210"/>
      </w:pPr>
      <w:r>
        <w:rPr>
          <w:b/>
        </w:rPr>
        <w:lastRenderedPageBreak/>
        <w:t>Wissenschaftliche Imperative:</w:t>
      </w:r>
    </w:p>
    <w:p w14:paraId="0F9DF0C3" w14:textId="77777777" w:rsidR="0053547C" w:rsidRDefault="007E015A">
      <w:pPr>
        <w:spacing w:after="210"/>
      </w:pPr>
      <w:r>
        <w:t xml:space="preserve">Moderne biomedizinische Forschung erfordert zunehmend </w:t>
      </w:r>
      <w:r>
        <w:rPr>
          <w:b/>
        </w:rPr>
        <w:t>interdisziplin</w:t>
      </w:r>
      <w:r>
        <w:rPr>
          <w:b/>
        </w:rPr>
        <w:t>ä</w:t>
      </w:r>
      <w:r>
        <w:rPr>
          <w:b/>
        </w:rPr>
        <w:t>re Zusammenarbeit</w:t>
      </w:r>
      <w:r>
        <w:rPr>
          <w:rFonts w:eastAsia="Georgia" w:hAnsi="Georgia" w:cs="Georgia"/>
        </w:rPr>
        <w:t xml:space="preserve"> über traditionelle Fachgrenzen hinweg. Ein Onkologe, der Tumorgenomik untersucht, muss mit klinischen Immunologen zusammenarbeiten, die wiederum auf Bildgebungsdaten angewiesen sind. Ohne interoperable Metadaten werden diese Synergien nicht realisiert.</w:t>
      </w:r>
    </w:p>
    <w:p w14:paraId="392A17AC" w14:textId="77777777" w:rsidR="0053547C" w:rsidRDefault="007E015A">
      <w:pPr>
        <w:spacing w:after="210"/>
      </w:pPr>
      <w:r>
        <w:rPr>
          <w:b/>
        </w:rPr>
        <w:t>Technologischer Druck:</w:t>
      </w:r>
    </w:p>
    <w:p w14:paraId="1EDAE91E" w14:textId="77777777" w:rsidR="0053547C" w:rsidRDefault="007E015A">
      <w:pPr>
        <w:spacing w:after="210"/>
      </w:pPr>
      <w:r>
        <w:rPr>
          <w:rFonts w:eastAsia="Georgia" w:hAnsi="Georgia" w:cs="Georgia"/>
        </w:rPr>
        <w:t xml:space="preserve">Die rasante Entwicklung künstlicher Intelligenz und Machine Learning stellt </w:t>
      </w:r>
      <w:r>
        <w:rPr>
          <w:b/>
        </w:rPr>
        <w:t>steigende Anforderungen an Datenqualit</w:t>
      </w:r>
      <w:r>
        <w:rPr>
          <w:b/>
        </w:rPr>
        <w:t>ä</w:t>
      </w:r>
      <w:r>
        <w:rPr>
          <w:b/>
        </w:rPr>
        <w:t>t und Konsistenz</w:t>
      </w:r>
      <w:r>
        <w:rPr>
          <w:rFonts w:eastAsia="Georgia" w:hAnsi="Georgia" w:cs="Georgia"/>
        </w:rPr>
        <w:t>. Unstrukturierte, heterogene Metadaten führen zu schlechteren Modellen und Bias in KI-Systemen. Umgekehrt ermöglichen gut harmonisierte Metadaten robuste, verallgemeinerbare Algorithmen, die tatsächlich als Entscheidungshilfen in der klinischen Praxis einsetzbar sind.</w:t>
      </w:r>
    </w:p>
    <w:p w14:paraId="4F2DF040" w14:textId="77777777" w:rsidR="0053547C" w:rsidRDefault="007E015A">
      <w:pPr>
        <w:spacing w:after="210"/>
      </w:pPr>
      <w:r>
        <w:rPr>
          <w:b/>
        </w:rPr>
        <w:t>Ö</w:t>
      </w:r>
      <w:r>
        <w:rPr>
          <w:b/>
        </w:rPr>
        <w:t>konomische Effizienz:</w:t>
      </w:r>
    </w:p>
    <w:p w14:paraId="3066A49D" w14:textId="77777777" w:rsidR="0053547C" w:rsidRDefault="007E015A">
      <w:pPr>
        <w:spacing w:after="210"/>
      </w:pPr>
      <w:r>
        <w:rPr>
          <w:rFonts w:eastAsia="Georgia" w:hAnsi="Georgia" w:cs="Georgia"/>
        </w:rPr>
        <w:t xml:space="preserve">Jede redundante Datenerfassung, jedes manuelle Mapping zwischen Systemen, jede Anfrage, die manuell geklärt werden muss, bindet Ressourcen. </w:t>
      </w:r>
      <w:r>
        <w:rPr>
          <w:b/>
        </w:rPr>
        <w:t>Durch Standardisierung entstehen langfristig erhebliche Kostenersparnisse</w:t>
      </w:r>
      <w:r>
        <w:t xml:space="preserve"> in Datenmanagement, IT-Entwicklung und Forschungsinfrastruktur.</w:t>
      </w:r>
    </w:p>
    <w:p w14:paraId="6CC5DAF2" w14:textId="77777777" w:rsidR="0053547C" w:rsidRDefault="007E015A">
      <w:pPr>
        <w:spacing w:after="210"/>
      </w:pPr>
      <w:r>
        <w:rPr>
          <w:b/>
        </w:rPr>
        <w:t>Internationale Wettbewerbsf</w:t>
      </w:r>
      <w:r>
        <w:rPr>
          <w:b/>
        </w:rPr>
        <w:t>ä</w:t>
      </w:r>
      <w:r>
        <w:rPr>
          <w:b/>
        </w:rPr>
        <w:t>higkeit:</w:t>
      </w:r>
    </w:p>
    <w:p w14:paraId="7D6D73CA" w14:textId="77777777" w:rsidR="0053547C" w:rsidRDefault="007E015A">
      <w:pPr>
        <w:spacing w:after="210"/>
      </w:pPr>
      <w:r>
        <w:rPr>
          <w:rFonts w:eastAsia="Georgia" w:hAnsi="Georgia" w:cs="Georgia"/>
        </w:rPr>
        <w:t xml:space="preserve">Deutschland und Europa konkurrieren global mit anderen Forschungsregionen. Länder und Organisationen, die zuerst eine </w:t>
      </w:r>
      <w:r>
        <w:rPr>
          <w:b/>
        </w:rPr>
        <w:t>vollst</w:t>
      </w:r>
      <w:r>
        <w:rPr>
          <w:b/>
        </w:rPr>
        <w:t>ä</w:t>
      </w:r>
      <w:r>
        <w:rPr>
          <w:b/>
        </w:rPr>
        <w:t>ndig interoperable Forschungsdaten-Infrastruktur</w:t>
      </w:r>
      <w:r>
        <w:rPr>
          <w:rFonts w:eastAsia="Georgia" w:hAnsi="Georgia" w:cs="Georgia"/>
        </w:rPr>
        <w:t xml:space="preserve"> aufbauen, werden Talente und Investitionen anziehen und wissenschaftliche Durchbrüche beschleunigen.</w:t>
      </w:r>
    </w:p>
    <w:p w14:paraId="6B001294" w14:textId="77777777" w:rsidR="0053547C" w:rsidRDefault="007E015A" w:rsidP="007E015A">
      <w:pPr>
        <w:pStyle w:val="berschrift2"/>
      </w:pPr>
      <w:bookmarkStart w:id="53" w:name="bm_7_2_notwendigkeit_einer_instit_ac4979"/>
      <w:bookmarkStart w:id="54" w:name="_Toc216791243"/>
      <w:r>
        <w:t>7.2 Notwendigkeit einer institutionellen Verankerung</w:t>
      </w:r>
      <w:bookmarkEnd w:id="53"/>
      <w:bookmarkEnd w:id="54"/>
    </w:p>
    <w:p w14:paraId="5BDB5079" w14:textId="77777777" w:rsidR="007E015A" w:rsidRPr="007E015A" w:rsidRDefault="007E015A" w:rsidP="007E015A"/>
    <w:p w14:paraId="7CD59DE4" w14:textId="77777777" w:rsidR="0053547C" w:rsidRDefault="007E015A">
      <w:pPr>
        <w:spacing w:after="210"/>
      </w:pPr>
      <w:r>
        <w:t xml:space="preserve">Der Workshop hat deutlich gemacht, dass </w:t>
      </w:r>
      <w:r>
        <w:rPr>
          <w:b/>
        </w:rPr>
        <w:t>punktuelle, freiwillige Anstrengungen nicht ausreichen</w:t>
      </w:r>
      <w:r>
        <w:rPr>
          <w:rFonts w:eastAsia="Georgia" w:hAnsi="Georgia" w:cs="Georgia"/>
        </w:rPr>
        <w:t>. Folgende strukturelle Maßnahmen sind erforderlich:</w:t>
      </w:r>
    </w:p>
    <w:p w14:paraId="2A1723D9" w14:textId="73E8A861" w:rsidR="0053547C" w:rsidRDefault="007E015A">
      <w:pPr>
        <w:spacing w:after="210"/>
      </w:pPr>
      <w:r>
        <w:rPr>
          <w:b/>
        </w:rPr>
        <w:t>Vollzeitressourcen:</w:t>
      </w:r>
      <w:r>
        <w:rPr>
          <w:rFonts w:eastAsia="Georgia" w:hAnsi="Georgia" w:cs="Georgia"/>
        </w:rPr>
        <w:t xml:space="preserve"> Die BioMed Metadata Interoperability Group benötigt </w:t>
      </w:r>
      <w:r>
        <w:rPr>
          <w:b/>
        </w:rPr>
        <w:t>dedizierte Vollzeitkr</w:t>
      </w:r>
      <w:r>
        <w:rPr>
          <w:b/>
        </w:rPr>
        <w:t>ä</w:t>
      </w:r>
      <w:r>
        <w:rPr>
          <w:b/>
        </w:rPr>
        <w:t>fte</w:t>
      </w:r>
      <w:r>
        <w:rPr>
          <w:rFonts w:eastAsia="Georgia" w:hAnsi="Georgia" w:cs="Georgia"/>
        </w:rPr>
        <w:t xml:space="preserve"> – nicht nur Koordination durch nebenberufliche Mitarbeit. Dies ermöglicht kontinuierliche Fortschritte.</w:t>
      </w:r>
    </w:p>
    <w:p w14:paraId="54C70496" w14:textId="77777777" w:rsidR="0053547C" w:rsidRDefault="007E015A">
      <w:pPr>
        <w:spacing w:after="210"/>
      </w:pPr>
      <w:r>
        <w:rPr>
          <w:b/>
        </w:rPr>
        <w:t>Institutionelle Governance:</w:t>
      </w:r>
      <w:r>
        <w:t xml:space="preserve"> Die Harmonisierungs-Bestrebungen sollten formal in den Entscheidungsstrukturen der einzelnen Konsortien und des BioMed-Verbunds verankert werden, um Verbindlichkeit zu schaffen.</w:t>
      </w:r>
    </w:p>
    <w:p w14:paraId="7207D6A4" w14:textId="0EDED768" w:rsidR="0053547C" w:rsidRDefault="007E015A">
      <w:pPr>
        <w:spacing w:after="210"/>
      </w:pPr>
      <w:r>
        <w:rPr>
          <w:b/>
        </w:rPr>
        <w:t>Kontinuierliche Monitoring:</w:t>
      </w:r>
      <w:r>
        <w:rPr>
          <w:rFonts w:eastAsia="Georgia" w:hAnsi="Georgia" w:cs="Georgia"/>
        </w:rPr>
        <w:t xml:space="preserve"> Standards und Ontologien sind nicht statisch. Ein regelmäßiges Monitoring von </w:t>
      </w:r>
      <w:r>
        <w:rPr>
          <w:b/>
        </w:rPr>
        <w:t>internationalen Standards-Entwicklungen</w:t>
      </w:r>
      <w:r>
        <w:t xml:space="preserve"> ist notwendig, um sicherzustellen, dass BioMed nicht isoliert wird, sondern national und international </w:t>
      </w:r>
      <w:r w:rsidR="00335C99">
        <w:t>harmonisiert und auf dem neuesten Stand</w:t>
      </w:r>
      <w:r>
        <w:t xml:space="preserve"> bleibt.</w:t>
      </w:r>
    </w:p>
    <w:p w14:paraId="31C23DDA" w14:textId="77777777" w:rsidR="0053547C" w:rsidRDefault="007E015A" w:rsidP="007E015A">
      <w:pPr>
        <w:pStyle w:val="berschrift2"/>
      </w:pPr>
      <w:bookmarkStart w:id="55" w:name="bm_7_3_ausblick"/>
      <w:bookmarkStart w:id="56" w:name="_Toc216791244"/>
      <w:r>
        <w:t>7.3 Ausblick</w:t>
      </w:r>
      <w:bookmarkEnd w:id="55"/>
      <w:bookmarkEnd w:id="56"/>
    </w:p>
    <w:p w14:paraId="35BA4628" w14:textId="77777777" w:rsidR="007E015A" w:rsidRPr="007E015A" w:rsidRDefault="007E015A" w:rsidP="007E015A"/>
    <w:p w14:paraId="03CB99CF" w14:textId="0903408D" w:rsidR="0053547C" w:rsidRDefault="007E015A">
      <w:pPr>
        <w:spacing w:after="210"/>
      </w:pPr>
      <w:r>
        <w:rPr>
          <w:rFonts w:eastAsia="Georgia" w:hAnsi="Georgia" w:cs="Georgia"/>
        </w:rPr>
        <w:t xml:space="preserve">Die Vision einer konsortium-übergreifenden, international </w:t>
      </w:r>
      <w:r w:rsidR="00335C99">
        <w:rPr>
          <w:rFonts w:eastAsia="Georgia" w:hAnsi="Georgia" w:cs="Georgia"/>
        </w:rPr>
        <w:t>harmonisierten</w:t>
      </w:r>
      <w:r>
        <w:rPr>
          <w:rFonts w:eastAsia="Georgia" w:hAnsi="Georgia" w:cs="Georgia"/>
        </w:rPr>
        <w:t xml:space="preserve"> Metadaten-Infrastruktur ist ambitioniert, aber </w:t>
      </w:r>
      <w:r>
        <w:rPr>
          <w:b/>
        </w:rPr>
        <w:t>erreichbar</w:t>
      </w:r>
      <w:r>
        <w:t>. Die Grundlagen sind gelegt:</w:t>
      </w:r>
    </w:p>
    <w:p w14:paraId="34D843DC" w14:textId="77777777" w:rsidR="0053547C" w:rsidRDefault="007E015A">
      <w:pPr>
        <w:numPr>
          <w:ilvl w:val="0"/>
          <w:numId w:val="35"/>
        </w:numPr>
      </w:pPr>
      <w:r>
        <w:lastRenderedPageBreak/>
        <w:t xml:space="preserve">Einzelne Konsortien haben bereits </w:t>
      </w:r>
      <w:r>
        <w:rPr>
          <w:b/>
        </w:rPr>
        <w:t>Erfahrung mit Standards-Harmonisierung</w:t>
      </w:r>
      <w:r>
        <w:t xml:space="preserve"> (z.B. NFDI4Health mit FHIR, GHGA mit genomischen Standards)</w:t>
      </w:r>
    </w:p>
    <w:p w14:paraId="67B02876" w14:textId="77777777" w:rsidR="0053547C" w:rsidRDefault="007E015A">
      <w:pPr>
        <w:numPr>
          <w:ilvl w:val="0"/>
          <w:numId w:val="35"/>
        </w:numPr>
      </w:pPr>
      <w:r>
        <w:t xml:space="preserve">Es gibt klare </w:t>
      </w:r>
      <w:r>
        <w:rPr>
          <w:b/>
        </w:rPr>
        <w:t>internationale Orientierungspunkte</w:t>
      </w:r>
      <w:r>
        <w:rPr>
          <w:rFonts w:eastAsia="Georgia" w:hAnsi="Georgia" w:cs="Georgia"/>
        </w:rPr>
        <w:t xml:space="preserve"> und Best Practices aus anderen Ländern und Organisationen</w:t>
      </w:r>
    </w:p>
    <w:p w14:paraId="6C0D1307" w14:textId="77777777" w:rsidR="0053547C" w:rsidRDefault="007E015A">
      <w:pPr>
        <w:numPr>
          <w:ilvl w:val="0"/>
          <w:numId w:val="35"/>
        </w:numPr>
      </w:pPr>
      <w:r>
        <w:t xml:space="preserve">Der </w:t>
      </w:r>
      <w:r>
        <w:rPr>
          <w:b/>
        </w:rPr>
        <w:t>politische und wissenschaftliche Wille</w:t>
      </w:r>
      <w:r>
        <w:t xml:space="preserve"> zur Zusammenarbeit ist vorhanden, wie der Workshop demonstriert hat</w:t>
      </w:r>
    </w:p>
    <w:p w14:paraId="2BFE1EAD" w14:textId="772EB7E1" w:rsidR="0053547C" w:rsidRDefault="007E015A">
      <w:pPr>
        <w:spacing w:after="210"/>
      </w:pPr>
      <w:r>
        <w:t xml:space="preserve">Was nun erforderlich ist, ist </w:t>
      </w:r>
      <w:r>
        <w:rPr>
          <w:b/>
        </w:rPr>
        <w:t>konsistente Anstrengung</w:t>
      </w:r>
      <w:r>
        <w:rPr>
          <w:rFonts w:eastAsia="Georgia" w:hAnsi="Georgia" w:cs="Georgia"/>
        </w:rPr>
        <w:t xml:space="preserve">, klare Prioritäten und ausreichende Ressourcen. Mit diesen Voraussetzungen kann BioMed in den nächsten Jahren zu einem </w:t>
      </w:r>
      <w:r>
        <w:rPr>
          <w:b/>
        </w:rPr>
        <w:t>Vorbild f</w:t>
      </w:r>
      <w:r>
        <w:rPr>
          <w:b/>
        </w:rPr>
        <w:t>ü</w:t>
      </w:r>
      <w:r>
        <w:rPr>
          <w:b/>
        </w:rPr>
        <w:t>r f</w:t>
      </w:r>
      <w:r>
        <w:rPr>
          <w:b/>
        </w:rPr>
        <w:t>ö</w:t>
      </w:r>
      <w:r>
        <w:rPr>
          <w:b/>
        </w:rPr>
        <w:t>derierte, interoperable Forschungsdaten-Infrastrukturen</w:t>
      </w:r>
      <w:r>
        <w:rPr>
          <w:rFonts w:eastAsia="Georgia" w:hAnsi="Georgia" w:cs="Georgia"/>
        </w:rPr>
        <w:t xml:space="preserve"> in Europa werden – mit direktem Nutzen für Forschung, Entwicklung und letztlich für Patienten und Gesellschaft.</w:t>
      </w:r>
    </w:p>
    <w:sectPr w:rsidR="0053547C">
      <w:pgSz w:w="12240" w:h="15840"/>
      <w:pgMar w:top="1415" w:right="1775" w:bottom="1415" w:left="17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6338"/>
    <w:multiLevelType w:val="hybridMultilevel"/>
    <w:tmpl w:val="3FD4FC7A"/>
    <w:lvl w:ilvl="0" w:tplc="A010F7A6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65723B9C">
      <w:numFmt w:val="decimal"/>
      <w:lvlText w:val=""/>
      <w:lvlJc w:val="left"/>
    </w:lvl>
    <w:lvl w:ilvl="2" w:tplc="270EB1E0">
      <w:numFmt w:val="decimal"/>
      <w:lvlText w:val=""/>
      <w:lvlJc w:val="left"/>
    </w:lvl>
    <w:lvl w:ilvl="3" w:tplc="73FC25E4">
      <w:numFmt w:val="decimal"/>
      <w:lvlText w:val=""/>
      <w:lvlJc w:val="left"/>
    </w:lvl>
    <w:lvl w:ilvl="4" w:tplc="F1F6FDFA">
      <w:numFmt w:val="decimal"/>
      <w:lvlText w:val=""/>
      <w:lvlJc w:val="left"/>
    </w:lvl>
    <w:lvl w:ilvl="5" w:tplc="E6BC6BB2">
      <w:numFmt w:val="decimal"/>
      <w:lvlText w:val=""/>
      <w:lvlJc w:val="left"/>
    </w:lvl>
    <w:lvl w:ilvl="6" w:tplc="0658C6E0">
      <w:numFmt w:val="decimal"/>
      <w:lvlText w:val=""/>
      <w:lvlJc w:val="left"/>
    </w:lvl>
    <w:lvl w:ilvl="7" w:tplc="236AEBC6">
      <w:numFmt w:val="decimal"/>
      <w:lvlText w:val=""/>
      <w:lvlJc w:val="left"/>
    </w:lvl>
    <w:lvl w:ilvl="8" w:tplc="A9989F80">
      <w:numFmt w:val="decimal"/>
      <w:lvlText w:val=""/>
      <w:lvlJc w:val="left"/>
    </w:lvl>
  </w:abstractNum>
  <w:abstractNum w:abstractNumId="1" w15:restartNumberingAfterBreak="0">
    <w:nsid w:val="06273687"/>
    <w:multiLevelType w:val="hybridMultilevel"/>
    <w:tmpl w:val="3D00743C"/>
    <w:lvl w:ilvl="0" w:tplc="9012916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2B8C700">
      <w:numFmt w:val="decimal"/>
      <w:lvlText w:val=""/>
      <w:lvlJc w:val="left"/>
    </w:lvl>
    <w:lvl w:ilvl="2" w:tplc="E1D67182">
      <w:numFmt w:val="decimal"/>
      <w:lvlText w:val=""/>
      <w:lvlJc w:val="left"/>
    </w:lvl>
    <w:lvl w:ilvl="3" w:tplc="198EB498">
      <w:numFmt w:val="decimal"/>
      <w:lvlText w:val=""/>
      <w:lvlJc w:val="left"/>
    </w:lvl>
    <w:lvl w:ilvl="4" w:tplc="E01A06DE">
      <w:numFmt w:val="decimal"/>
      <w:lvlText w:val=""/>
      <w:lvlJc w:val="left"/>
    </w:lvl>
    <w:lvl w:ilvl="5" w:tplc="F782F5D0">
      <w:numFmt w:val="decimal"/>
      <w:lvlText w:val=""/>
      <w:lvlJc w:val="left"/>
    </w:lvl>
    <w:lvl w:ilvl="6" w:tplc="C36A6266">
      <w:numFmt w:val="decimal"/>
      <w:lvlText w:val=""/>
      <w:lvlJc w:val="left"/>
    </w:lvl>
    <w:lvl w:ilvl="7" w:tplc="7D42C15A">
      <w:numFmt w:val="decimal"/>
      <w:lvlText w:val=""/>
      <w:lvlJc w:val="left"/>
    </w:lvl>
    <w:lvl w:ilvl="8" w:tplc="28B400B2">
      <w:numFmt w:val="decimal"/>
      <w:lvlText w:val=""/>
      <w:lvlJc w:val="left"/>
    </w:lvl>
  </w:abstractNum>
  <w:abstractNum w:abstractNumId="2" w15:restartNumberingAfterBreak="0">
    <w:nsid w:val="07225CC8"/>
    <w:multiLevelType w:val="hybridMultilevel"/>
    <w:tmpl w:val="5740CDB6"/>
    <w:lvl w:ilvl="0" w:tplc="5C32588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B32C313A">
      <w:numFmt w:val="decimal"/>
      <w:lvlText w:val=""/>
      <w:lvlJc w:val="left"/>
    </w:lvl>
    <w:lvl w:ilvl="2" w:tplc="E6E0A896">
      <w:numFmt w:val="decimal"/>
      <w:lvlText w:val=""/>
      <w:lvlJc w:val="left"/>
    </w:lvl>
    <w:lvl w:ilvl="3" w:tplc="37D65EA8">
      <w:numFmt w:val="decimal"/>
      <w:lvlText w:val=""/>
      <w:lvlJc w:val="left"/>
    </w:lvl>
    <w:lvl w:ilvl="4" w:tplc="D21E62EE">
      <w:numFmt w:val="decimal"/>
      <w:lvlText w:val=""/>
      <w:lvlJc w:val="left"/>
    </w:lvl>
    <w:lvl w:ilvl="5" w:tplc="D0387F34">
      <w:numFmt w:val="decimal"/>
      <w:lvlText w:val=""/>
      <w:lvlJc w:val="left"/>
    </w:lvl>
    <w:lvl w:ilvl="6" w:tplc="555C0B08">
      <w:numFmt w:val="decimal"/>
      <w:lvlText w:val=""/>
      <w:lvlJc w:val="left"/>
    </w:lvl>
    <w:lvl w:ilvl="7" w:tplc="956E4BEC">
      <w:numFmt w:val="decimal"/>
      <w:lvlText w:val=""/>
      <w:lvlJc w:val="left"/>
    </w:lvl>
    <w:lvl w:ilvl="8" w:tplc="2F74BEF0">
      <w:numFmt w:val="decimal"/>
      <w:lvlText w:val=""/>
      <w:lvlJc w:val="left"/>
    </w:lvl>
  </w:abstractNum>
  <w:abstractNum w:abstractNumId="3" w15:restartNumberingAfterBreak="0">
    <w:nsid w:val="0809604E"/>
    <w:multiLevelType w:val="hybridMultilevel"/>
    <w:tmpl w:val="9D10F2E2"/>
    <w:lvl w:ilvl="0" w:tplc="5A90E41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F75635B0">
      <w:numFmt w:val="decimal"/>
      <w:lvlText w:val=""/>
      <w:lvlJc w:val="left"/>
    </w:lvl>
    <w:lvl w:ilvl="2" w:tplc="15B2C148">
      <w:numFmt w:val="decimal"/>
      <w:lvlText w:val=""/>
      <w:lvlJc w:val="left"/>
    </w:lvl>
    <w:lvl w:ilvl="3" w:tplc="A33EF022">
      <w:numFmt w:val="decimal"/>
      <w:lvlText w:val=""/>
      <w:lvlJc w:val="left"/>
    </w:lvl>
    <w:lvl w:ilvl="4" w:tplc="E006FC4C">
      <w:numFmt w:val="decimal"/>
      <w:lvlText w:val=""/>
      <w:lvlJc w:val="left"/>
    </w:lvl>
    <w:lvl w:ilvl="5" w:tplc="87BCCD32">
      <w:numFmt w:val="decimal"/>
      <w:lvlText w:val=""/>
      <w:lvlJc w:val="left"/>
    </w:lvl>
    <w:lvl w:ilvl="6" w:tplc="71EA9A38">
      <w:numFmt w:val="decimal"/>
      <w:lvlText w:val=""/>
      <w:lvlJc w:val="left"/>
    </w:lvl>
    <w:lvl w:ilvl="7" w:tplc="F33A787C">
      <w:numFmt w:val="decimal"/>
      <w:lvlText w:val=""/>
      <w:lvlJc w:val="left"/>
    </w:lvl>
    <w:lvl w:ilvl="8" w:tplc="B9325D1A">
      <w:numFmt w:val="decimal"/>
      <w:lvlText w:val=""/>
      <w:lvlJc w:val="left"/>
    </w:lvl>
  </w:abstractNum>
  <w:abstractNum w:abstractNumId="4" w15:restartNumberingAfterBreak="0">
    <w:nsid w:val="16B37710"/>
    <w:multiLevelType w:val="hybridMultilevel"/>
    <w:tmpl w:val="D8E6899E"/>
    <w:lvl w:ilvl="0" w:tplc="F032754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5296BCD0">
      <w:numFmt w:val="decimal"/>
      <w:lvlText w:val=""/>
      <w:lvlJc w:val="left"/>
    </w:lvl>
    <w:lvl w:ilvl="2" w:tplc="0B32E118">
      <w:numFmt w:val="decimal"/>
      <w:lvlText w:val=""/>
      <w:lvlJc w:val="left"/>
    </w:lvl>
    <w:lvl w:ilvl="3" w:tplc="0F7671E6">
      <w:numFmt w:val="decimal"/>
      <w:lvlText w:val=""/>
      <w:lvlJc w:val="left"/>
    </w:lvl>
    <w:lvl w:ilvl="4" w:tplc="E1AE5F08">
      <w:numFmt w:val="decimal"/>
      <w:lvlText w:val=""/>
      <w:lvlJc w:val="left"/>
    </w:lvl>
    <w:lvl w:ilvl="5" w:tplc="30B4BF52">
      <w:numFmt w:val="decimal"/>
      <w:lvlText w:val=""/>
      <w:lvlJc w:val="left"/>
    </w:lvl>
    <w:lvl w:ilvl="6" w:tplc="53A8E9BA">
      <w:numFmt w:val="decimal"/>
      <w:lvlText w:val=""/>
      <w:lvlJc w:val="left"/>
    </w:lvl>
    <w:lvl w:ilvl="7" w:tplc="299A529E">
      <w:numFmt w:val="decimal"/>
      <w:lvlText w:val=""/>
      <w:lvlJc w:val="left"/>
    </w:lvl>
    <w:lvl w:ilvl="8" w:tplc="0624E8CA">
      <w:numFmt w:val="decimal"/>
      <w:lvlText w:val=""/>
      <w:lvlJc w:val="left"/>
    </w:lvl>
  </w:abstractNum>
  <w:abstractNum w:abstractNumId="5" w15:restartNumberingAfterBreak="0">
    <w:nsid w:val="187A2DB2"/>
    <w:multiLevelType w:val="hybridMultilevel"/>
    <w:tmpl w:val="759421E8"/>
    <w:lvl w:ilvl="0" w:tplc="38488E1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C64E1542">
      <w:numFmt w:val="decimal"/>
      <w:lvlText w:val=""/>
      <w:lvlJc w:val="left"/>
    </w:lvl>
    <w:lvl w:ilvl="2" w:tplc="F2AAE8D0">
      <w:numFmt w:val="decimal"/>
      <w:lvlText w:val=""/>
      <w:lvlJc w:val="left"/>
    </w:lvl>
    <w:lvl w:ilvl="3" w:tplc="09F2E854">
      <w:numFmt w:val="decimal"/>
      <w:lvlText w:val=""/>
      <w:lvlJc w:val="left"/>
    </w:lvl>
    <w:lvl w:ilvl="4" w:tplc="62ACD378">
      <w:numFmt w:val="decimal"/>
      <w:lvlText w:val=""/>
      <w:lvlJc w:val="left"/>
    </w:lvl>
    <w:lvl w:ilvl="5" w:tplc="47E6BFFA">
      <w:numFmt w:val="decimal"/>
      <w:lvlText w:val=""/>
      <w:lvlJc w:val="left"/>
    </w:lvl>
    <w:lvl w:ilvl="6" w:tplc="74E2836A">
      <w:numFmt w:val="decimal"/>
      <w:lvlText w:val=""/>
      <w:lvlJc w:val="left"/>
    </w:lvl>
    <w:lvl w:ilvl="7" w:tplc="E9CA787C">
      <w:numFmt w:val="decimal"/>
      <w:lvlText w:val=""/>
      <w:lvlJc w:val="left"/>
    </w:lvl>
    <w:lvl w:ilvl="8" w:tplc="9E4C6CBE">
      <w:numFmt w:val="decimal"/>
      <w:lvlText w:val=""/>
      <w:lvlJc w:val="left"/>
    </w:lvl>
  </w:abstractNum>
  <w:abstractNum w:abstractNumId="6" w15:restartNumberingAfterBreak="0">
    <w:nsid w:val="1DD77C92"/>
    <w:multiLevelType w:val="hybridMultilevel"/>
    <w:tmpl w:val="6BD8A2E0"/>
    <w:lvl w:ilvl="0" w:tplc="EA0A0A8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200836C8">
      <w:numFmt w:val="decimal"/>
      <w:lvlText w:val=""/>
      <w:lvlJc w:val="left"/>
    </w:lvl>
    <w:lvl w:ilvl="2" w:tplc="03DEC2F6">
      <w:numFmt w:val="decimal"/>
      <w:lvlText w:val=""/>
      <w:lvlJc w:val="left"/>
    </w:lvl>
    <w:lvl w:ilvl="3" w:tplc="F3DC0604">
      <w:numFmt w:val="decimal"/>
      <w:lvlText w:val=""/>
      <w:lvlJc w:val="left"/>
    </w:lvl>
    <w:lvl w:ilvl="4" w:tplc="144CF8E6">
      <w:numFmt w:val="decimal"/>
      <w:lvlText w:val=""/>
      <w:lvlJc w:val="left"/>
    </w:lvl>
    <w:lvl w:ilvl="5" w:tplc="1C4265FA">
      <w:numFmt w:val="decimal"/>
      <w:lvlText w:val=""/>
      <w:lvlJc w:val="left"/>
    </w:lvl>
    <w:lvl w:ilvl="6" w:tplc="97B47012">
      <w:numFmt w:val="decimal"/>
      <w:lvlText w:val=""/>
      <w:lvlJc w:val="left"/>
    </w:lvl>
    <w:lvl w:ilvl="7" w:tplc="D1843358">
      <w:numFmt w:val="decimal"/>
      <w:lvlText w:val=""/>
      <w:lvlJc w:val="left"/>
    </w:lvl>
    <w:lvl w:ilvl="8" w:tplc="09229AE2">
      <w:numFmt w:val="decimal"/>
      <w:lvlText w:val=""/>
      <w:lvlJc w:val="left"/>
    </w:lvl>
  </w:abstractNum>
  <w:abstractNum w:abstractNumId="7" w15:restartNumberingAfterBreak="0">
    <w:nsid w:val="259C1E03"/>
    <w:multiLevelType w:val="hybridMultilevel"/>
    <w:tmpl w:val="2C1C7F5C"/>
    <w:lvl w:ilvl="0" w:tplc="68805D8A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D544373E">
      <w:numFmt w:val="decimal"/>
      <w:lvlText w:val=""/>
      <w:lvlJc w:val="left"/>
    </w:lvl>
    <w:lvl w:ilvl="2" w:tplc="AA1C7E44">
      <w:numFmt w:val="decimal"/>
      <w:lvlText w:val=""/>
      <w:lvlJc w:val="left"/>
    </w:lvl>
    <w:lvl w:ilvl="3" w:tplc="90A0D20C">
      <w:numFmt w:val="decimal"/>
      <w:lvlText w:val=""/>
      <w:lvlJc w:val="left"/>
    </w:lvl>
    <w:lvl w:ilvl="4" w:tplc="D12E4D1C">
      <w:numFmt w:val="decimal"/>
      <w:lvlText w:val=""/>
      <w:lvlJc w:val="left"/>
    </w:lvl>
    <w:lvl w:ilvl="5" w:tplc="8EF4C6BE">
      <w:numFmt w:val="decimal"/>
      <w:lvlText w:val=""/>
      <w:lvlJc w:val="left"/>
    </w:lvl>
    <w:lvl w:ilvl="6" w:tplc="DD14CAAC">
      <w:numFmt w:val="decimal"/>
      <w:lvlText w:val=""/>
      <w:lvlJc w:val="left"/>
    </w:lvl>
    <w:lvl w:ilvl="7" w:tplc="B6B283E8">
      <w:numFmt w:val="decimal"/>
      <w:lvlText w:val=""/>
      <w:lvlJc w:val="left"/>
    </w:lvl>
    <w:lvl w:ilvl="8" w:tplc="D578EAD2">
      <w:numFmt w:val="decimal"/>
      <w:lvlText w:val=""/>
      <w:lvlJc w:val="left"/>
    </w:lvl>
  </w:abstractNum>
  <w:abstractNum w:abstractNumId="8" w15:restartNumberingAfterBreak="0">
    <w:nsid w:val="2B3E2BA8"/>
    <w:multiLevelType w:val="hybridMultilevel"/>
    <w:tmpl w:val="2E1AEE0A"/>
    <w:lvl w:ilvl="0" w:tplc="BB86809C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5FB406C8">
      <w:numFmt w:val="decimal"/>
      <w:lvlText w:val=""/>
      <w:lvlJc w:val="left"/>
    </w:lvl>
    <w:lvl w:ilvl="2" w:tplc="6A363332">
      <w:numFmt w:val="decimal"/>
      <w:lvlText w:val=""/>
      <w:lvlJc w:val="left"/>
    </w:lvl>
    <w:lvl w:ilvl="3" w:tplc="683AFC1C">
      <w:numFmt w:val="decimal"/>
      <w:lvlText w:val=""/>
      <w:lvlJc w:val="left"/>
    </w:lvl>
    <w:lvl w:ilvl="4" w:tplc="86561228">
      <w:numFmt w:val="decimal"/>
      <w:lvlText w:val=""/>
      <w:lvlJc w:val="left"/>
    </w:lvl>
    <w:lvl w:ilvl="5" w:tplc="EC621122">
      <w:numFmt w:val="decimal"/>
      <w:lvlText w:val=""/>
      <w:lvlJc w:val="left"/>
    </w:lvl>
    <w:lvl w:ilvl="6" w:tplc="92AA0442">
      <w:numFmt w:val="decimal"/>
      <w:lvlText w:val=""/>
      <w:lvlJc w:val="left"/>
    </w:lvl>
    <w:lvl w:ilvl="7" w:tplc="A1CCAFE8">
      <w:numFmt w:val="decimal"/>
      <w:lvlText w:val=""/>
      <w:lvlJc w:val="left"/>
    </w:lvl>
    <w:lvl w:ilvl="8" w:tplc="CACA2C5E">
      <w:numFmt w:val="decimal"/>
      <w:lvlText w:val=""/>
      <w:lvlJc w:val="left"/>
    </w:lvl>
  </w:abstractNum>
  <w:abstractNum w:abstractNumId="9" w15:restartNumberingAfterBreak="0">
    <w:nsid w:val="2C935054"/>
    <w:multiLevelType w:val="hybridMultilevel"/>
    <w:tmpl w:val="CC463F7A"/>
    <w:lvl w:ilvl="0" w:tplc="AA68D58A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9BBC180A">
      <w:numFmt w:val="decimal"/>
      <w:lvlText w:val=""/>
      <w:lvlJc w:val="left"/>
    </w:lvl>
    <w:lvl w:ilvl="2" w:tplc="7DCA3ACE">
      <w:numFmt w:val="decimal"/>
      <w:lvlText w:val=""/>
      <w:lvlJc w:val="left"/>
    </w:lvl>
    <w:lvl w:ilvl="3" w:tplc="43C0AE52">
      <w:numFmt w:val="decimal"/>
      <w:lvlText w:val=""/>
      <w:lvlJc w:val="left"/>
    </w:lvl>
    <w:lvl w:ilvl="4" w:tplc="25DA8378">
      <w:numFmt w:val="decimal"/>
      <w:lvlText w:val=""/>
      <w:lvlJc w:val="left"/>
    </w:lvl>
    <w:lvl w:ilvl="5" w:tplc="338ABB62">
      <w:numFmt w:val="decimal"/>
      <w:lvlText w:val=""/>
      <w:lvlJc w:val="left"/>
    </w:lvl>
    <w:lvl w:ilvl="6" w:tplc="1F56A510">
      <w:numFmt w:val="decimal"/>
      <w:lvlText w:val=""/>
      <w:lvlJc w:val="left"/>
    </w:lvl>
    <w:lvl w:ilvl="7" w:tplc="E690E118">
      <w:numFmt w:val="decimal"/>
      <w:lvlText w:val=""/>
      <w:lvlJc w:val="left"/>
    </w:lvl>
    <w:lvl w:ilvl="8" w:tplc="E1806676">
      <w:numFmt w:val="decimal"/>
      <w:lvlText w:val=""/>
      <w:lvlJc w:val="left"/>
    </w:lvl>
  </w:abstractNum>
  <w:abstractNum w:abstractNumId="10" w15:restartNumberingAfterBreak="0">
    <w:nsid w:val="2ED25EB4"/>
    <w:multiLevelType w:val="hybridMultilevel"/>
    <w:tmpl w:val="B6A8EDAA"/>
    <w:lvl w:ilvl="0" w:tplc="33A0121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85441D18">
      <w:numFmt w:val="decimal"/>
      <w:lvlText w:val=""/>
      <w:lvlJc w:val="left"/>
    </w:lvl>
    <w:lvl w:ilvl="2" w:tplc="662036FC">
      <w:numFmt w:val="decimal"/>
      <w:lvlText w:val=""/>
      <w:lvlJc w:val="left"/>
    </w:lvl>
    <w:lvl w:ilvl="3" w:tplc="D592F25E">
      <w:numFmt w:val="decimal"/>
      <w:lvlText w:val=""/>
      <w:lvlJc w:val="left"/>
    </w:lvl>
    <w:lvl w:ilvl="4" w:tplc="BC7215EA">
      <w:numFmt w:val="decimal"/>
      <w:lvlText w:val=""/>
      <w:lvlJc w:val="left"/>
    </w:lvl>
    <w:lvl w:ilvl="5" w:tplc="EFA2DB36">
      <w:numFmt w:val="decimal"/>
      <w:lvlText w:val=""/>
      <w:lvlJc w:val="left"/>
    </w:lvl>
    <w:lvl w:ilvl="6" w:tplc="3A7041C2">
      <w:numFmt w:val="decimal"/>
      <w:lvlText w:val=""/>
      <w:lvlJc w:val="left"/>
    </w:lvl>
    <w:lvl w:ilvl="7" w:tplc="30209032">
      <w:numFmt w:val="decimal"/>
      <w:lvlText w:val=""/>
      <w:lvlJc w:val="left"/>
    </w:lvl>
    <w:lvl w:ilvl="8" w:tplc="590A5D20">
      <w:numFmt w:val="decimal"/>
      <w:lvlText w:val=""/>
      <w:lvlJc w:val="left"/>
    </w:lvl>
  </w:abstractNum>
  <w:abstractNum w:abstractNumId="11" w15:restartNumberingAfterBreak="0">
    <w:nsid w:val="33F92368"/>
    <w:multiLevelType w:val="hybridMultilevel"/>
    <w:tmpl w:val="277AE330"/>
    <w:lvl w:ilvl="0" w:tplc="48184B8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2C925D6E">
      <w:numFmt w:val="decimal"/>
      <w:lvlText w:val=""/>
      <w:lvlJc w:val="left"/>
    </w:lvl>
    <w:lvl w:ilvl="2" w:tplc="C1648C22">
      <w:numFmt w:val="decimal"/>
      <w:lvlText w:val=""/>
      <w:lvlJc w:val="left"/>
    </w:lvl>
    <w:lvl w:ilvl="3" w:tplc="611CC3EE">
      <w:numFmt w:val="decimal"/>
      <w:lvlText w:val=""/>
      <w:lvlJc w:val="left"/>
    </w:lvl>
    <w:lvl w:ilvl="4" w:tplc="297AAFB8">
      <w:numFmt w:val="decimal"/>
      <w:lvlText w:val=""/>
      <w:lvlJc w:val="left"/>
    </w:lvl>
    <w:lvl w:ilvl="5" w:tplc="D19AA220">
      <w:numFmt w:val="decimal"/>
      <w:lvlText w:val=""/>
      <w:lvlJc w:val="left"/>
    </w:lvl>
    <w:lvl w:ilvl="6" w:tplc="1C22C132">
      <w:numFmt w:val="decimal"/>
      <w:lvlText w:val=""/>
      <w:lvlJc w:val="left"/>
    </w:lvl>
    <w:lvl w:ilvl="7" w:tplc="0DF49B5C">
      <w:numFmt w:val="decimal"/>
      <w:lvlText w:val=""/>
      <w:lvlJc w:val="left"/>
    </w:lvl>
    <w:lvl w:ilvl="8" w:tplc="A1C0CD04">
      <w:numFmt w:val="decimal"/>
      <w:lvlText w:val=""/>
      <w:lvlJc w:val="left"/>
    </w:lvl>
  </w:abstractNum>
  <w:abstractNum w:abstractNumId="12" w15:restartNumberingAfterBreak="0">
    <w:nsid w:val="36245454"/>
    <w:multiLevelType w:val="hybridMultilevel"/>
    <w:tmpl w:val="B4FC9872"/>
    <w:lvl w:ilvl="0" w:tplc="D6786EBC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7FA8C50C">
      <w:numFmt w:val="decimal"/>
      <w:lvlText w:val=""/>
      <w:lvlJc w:val="left"/>
    </w:lvl>
    <w:lvl w:ilvl="2" w:tplc="E5A0AA0A">
      <w:numFmt w:val="decimal"/>
      <w:lvlText w:val=""/>
      <w:lvlJc w:val="left"/>
    </w:lvl>
    <w:lvl w:ilvl="3" w:tplc="E5988D74">
      <w:numFmt w:val="decimal"/>
      <w:lvlText w:val=""/>
      <w:lvlJc w:val="left"/>
    </w:lvl>
    <w:lvl w:ilvl="4" w:tplc="2000FE1E">
      <w:numFmt w:val="decimal"/>
      <w:lvlText w:val=""/>
      <w:lvlJc w:val="left"/>
    </w:lvl>
    <w:lvl w:ilvl="5" w:tplc="90E2C952">
      <w:numFmt w:val="decimal"/>
      <w:lvlText w:val=""/>
      <w:lvlJc w:val="left"/>
    </w:lvl>
    <w:lvl w:ilvl="6" w:tplc="C780ED82">
      <w:numFmt w:val="decimal"/>
      <w:lvlText w:val=""/>
      <w:lvlJc w:val="left"/>
    </w:lvl>
    <w:lvl w:ilvl="7" w:tplc="2AEC07EE">
      <w:numFmt w:val="decimal"/>
      <w:lvlText w:val=""/>
      <w:lvlJc w:val="left"/>
    </w:lvl>
    <w:lvl w:ilvl="8" w:tplc="B1048D34">
      <w:numFmt w:val="decimal"/>
      <w:lvlText w:val=""/>
      <w:lvlJc w:val="left"/>
    </w:lvl>
  </w:abstractNum>
  <w:abstractNum w:abstractNumId="13" w15:restartNumberingAfterBreak="0">
    <w:nsid w:val="37D52797"/>
    <w:multiLevelType w:val="hybridMultilevel"/>
    <w:tmpl w:val="2DB84E9A"/>
    <w:lvl w:ilvl="0" w:tplc="DCA095E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6F6283E0">
      <w:numFmt w:val="decimal"/>
      <w:lvlText w:val=""/>
      <w:lvlJc w:val="left"/>
    </w:lvl>
    <w:lvl w:ilvl="2" w:tplc="CC881244">
      <w:numFmt w:val="decimal"/>
      <w:lvlText w:val=""/>
      <w:lvlJc w:val="left"/>
    </w:lvl>
    <w:lvl w:ilvl="3" w:tplc="FB2C55E0">
      <w:numFmt w:val="decimal"/>
      <w:lvlText w:val=""/>
      <w:lvlJc w:val="left"/>
    </w:lvl>
    <w:lvl w:ilvl="4" w:tplc="DFAEC3F8">
      <w:numFmt w:val="decimal"/>
      <w:lvlText w:val=""/>
      <w:lvlJc w:val="left"/>
    </w:lvl>
    <w:lvl w:ilvl="5" w:tplc="86D64A6E">
      <w:numFmt w:val="decimal"/>
      <w:lvlText w:val=""/>
      <w:lvlJc w:val="left"/>
    </w:lvl>
    <w:lvl w:ilvl="6" w:tplc="B3CC4F86">
      <w:numFmt w:val="decimal"/>
      <w:lvlText w:val=""/>
      <w:lvlJc w:val="left"/>
    </w:lvl>
    <w:lvl w:ilvl="7" w:tplc="49386F84">
      <w:numFmt w:val="decimal"/>
      <w:lvlText w:val=""/>
      <w:lvlJc w:val="left"/>
    </w:lvl>
    <w:lvl w:ilvl="8" w:tplc="7F242F56">
      <w:numFmt w:val="decimal"/>
      <w:lvlText w:val=""/>
      <w:lvlJc w:val="left"/>
    </w:lvl>
  </w:abstractNum>
  <w:abstractNum w:abstractNumId="14" w15:restartNumberingAfterBreak="0">
    <w:nsid w:val="3C235870"/>
    <w:multiLevelType w:val="hybridMultilevel"/>
    <w:tmpl w:val="0964C6BC"/>
    <w:lvl w:ilvl="0" w:tplc="D804C2F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9014DA4A">
      <w:numFmt w:val="decimal"/>
      <w:lvlText w:val=""/>
      <w:lvlJc w:val="left"/>
    </w:lvl>
    <w:lvl w:ilvl="2" w:tplc="02F0F6A8">
      <w:numFmt w:val="decimal"/>
      <w:lvlText w:val=""/>
      <w:lvlJc w:val="left"/>
    </w:lvl>
    <w:lvl w:ilvl="3" w:tplc="30DE2964">
      <w:numFmt w:val="decimal"/>
      <w:lvlText w:val=""/>
      <w:lvlJc w:val="left"/>
    </w:lvl>
    <w:lvl w:ilvl="4" w:tplc="39168994">
      <w:numFmt w:val="decimal"/>
      <w:lvlText w:val=""/>
      <w:lvlJc w:val="left"/>
    </w:lvl>
    <w:lvl w:ilvl="5" w:tplc="78FE180E">
      <w:numFmt w:val="decimal"/>
      <w:lvlText w:val=""/>
      <w:lvlJc w:val="left"/>
    </w:lvl>
    <w:lvl w:ilvl="6" w:tplc="11589B94">
      <w:numFmt w:val="decimal"/>
      <w:lvlText w:val=""/>
      <w:lvlJc w:val="left"/>
    </w:lvl>
    <w:lvl w:ilvl="7" w:tplc="FFC4C064">
      <w:numFmt w:val="decimal"/>
      <w:lvlText w:val=""/>
      <w:lvlJc w:val="left"/>
    </w:lvl>
    <w:lvl w:ilvl="8" w:tplc="75327354">
      <w:numFmt w:val="decimal"/>
      <w:lvlText w:val=""/>
      <w:lvlJc w:val="left"/>
    </w:lvl>
  </w:abstractNum>
  <w:abstractNum w:abstractNumId="15" w15:restartNumberingAfterBreak="0">
    <w:nsid w:val="41C72375"/>
    <w:multiLevelType w:val="hybridMultilevel"/>
    <w:tmpl w:val="FBDCD790"/>
    <w:lvl w:ilvl="0" w:tplc="27FA083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B30E9D28">
      <w:numFmt w:val="decimal"/>
      <w:lvlText w:val=""/>
      <w:lvlJc w:val="left"/>
    </w:lvl>
    <w:lvl w:ilvl="2" w:tplc="707E16AE">
      <w:numFmt w:val="decimal"/>
      <w:lvlText w:val=""/>
      <w:lvlJc w:val="left"/>
    </w:lvl>
    <w:lvl w:ilvl="3" w:tplc="7FBCF6D6">
      <w:numFmt w:val="decimal"/>
      <w:lvlText w:val=""/>
      <w:lvlJc w:val="left"/>
    </w:lvl>
    <w:lvl w:ilvl="4" w:tplc="2FC2ACC4">
      <w:numFmt w:val="decimal"/>
      <w:lvlText w:val=""/>
      <w:lvlJc w:val="left"/>
    </w:lvl>
    <w:lvl w:ilvl="5" w:tplc="7DFCB8EC">
      <w:numFmt w:val="decimal"/>
      <w:lvlText w:val=""/>
      <w:lvlJc w:val="left"/>
    </w:lvl>
    <w:lvl w:ilvl="6" w:tplc="DD14D684">
      <w:numFmt w:val="decimal"/>
      <w:lvlText w:val=""/>
      <w:lvlJc w:val="left"/>
    </w:lvl>
    <w:lvl w:ilvl="7" w:tplc="18548EC2">
      <w:numFmt w:val="decimal"/>
      <w:lvlText w:val=""/>
      <w:lvlJc w:val="left"/>
    </w:lvl>
    <w:lvl w:ilvl="8" w:tplc="37225ED8">
      <w:numFmt w:val="decimal"/>
      <w:lvlText w:val=""/>
      <w:lvlJc w:val="left"/>
    </w:lvl>
  </w:abstractNum>
  <w:abstractNum w:abstractNumId="16" w15:restartNumberingAfterBreak="0">
    <w:nsid w:val="45547354"/>
    <w:multiLevelType w:val="hybridMultilevel"/>
    <w:tmpl w:val="3F8AE3F6"/>
    <w:lvl w:ilvl="0" w:tplc="E0FEEDD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F8E61366">
      <w:numFmt w:val="decimal"/>
      <w:lvlText w:val=""/>
      <w:lvlJc w:val="left"/>
    </w:lvl>
    <w:lvl w:ilvl="2" w:tplc="A4DC2788">
      <w:numFmt w:val="decimal"/>
      <w:lvlText w:val=""/>
      <w:lvlJc w:val="left"/>
    </w:lvl>
    <w:lvl w:ilvl="3" w:tplc="E82A3F02">
      <w:numFmt w:val="decimal"/>
      <w:lvlText w:val=""/>
      <w:lvlJc w:val="left"/>
    </w:lvl>
    <w:lvl w:ilvl="4" w:tplc="85F48AF0">
      <w:numFmt w:val="decimal"/>
      <w:lvlText w:val=""/>
      <w:lvlJc w:val="left"/>
    </w:lvl>
    <w:lvl w:ilvl="5" w:tplc="AD8C489A">
      <w:numFmt w:val="decimal"/>
      <w:lvlText w:val=""/>
      <w:lvlJc w:val="left"/>
    </w:lvl>
    <w:lvl w:ilvl="6" w:tplc="8A9CFE2E">
      <w:numFmt w:val="decimal"/>
      <w:lvlText w:val=""/>
      <w:lvlJc w:val="left"/>
    </w:lvl>
    <w:lvl w:ilvl="7" w:tplc="D596543A">
      <w:numFmt w:val="decimal"/>
      <w:lvlText w:val=""/>
      <w:lvlJc w:val="left"/>
    </w:lvl>
    <w:lvl w:ilvl="8" w:tplc="8ACAF4C4">
      <w:numFmt w:val="decimal"/>
      <w:lvlText w:val=""/>
      <w:lvlJc w:val="left"/>
    </w:lvl>
  </w:abstractNum>
  <w:abstractNum w:abstractNumId="17" w15:restartNumberingAfterBreak="0">
    <w:nsid w:val="46AD0BCC"/>
    <w:multiLevelType w:val="hybridMultilevel"/>
    <w:tmpl w:val="79A40FE2"/>
    <w:lvl w:ilvl="0" w:tplc="BA4C92B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1BC2450E">
      <w:numFmt w:val="decimal"/>
      <w:lvlText w:val=""/>
      <w:lvlJc w:val="left"/>
    </w:lvl>
    <w:lvl w:ilvl="2" w:tplc="91F84E58">
      <w:numFmt w:val="decimal"/>
      <w:lvlText w:val=""/>
      <w:lvlJc w:val="left"/>
    </w:lvl>
    <w:lvl w:ilvl="3" w:tplc="EA7C4954">
      <w:numFmt w:val="decimal"/>
      <w:lvlText w:val=""/>
      <w:lvlJc w:val="left"/>
    </w:lvl>
    <w:lvl w:ilvl="4" w:tplc="990CF264">
      <w:numFmt w:val="decimal"/>
      <w:lvlText w:val=""/>
      <w:lvlJc w:val="left"/>
    </w:lvl>
    <w:lvl w:ilvl="5" w:tplc="A5E84E04">
      <w:numFmt w:val="decimal"/>
      <w:lvlText w:val=""/>
      <w:lvlJc w:val="left"/>
    </w:lvl>
    <w:lvl w:ilvl="6" w:tplc="634A8010">
      <w:numFmt w:val="decimal"/>
      <w:lvlText w:val=""/>
      <w:lvlJc w:val="left"/>
    </w:lvl>
    <w:lvl w:ilvl="7" w:tplc="8146FE20">
      <w:numFmt w:val="decimal"/>
      <w:lvlText w:val=""/>
      <w:lvlJc w:val="left"/>
    </w:lvl>
    <w:lvl w:ilvl="8" w:tplc="CAD84EDE">
      <w:numFmt w:val="decimal"/>
      <w:lvlText w:val=""/>
      <w:lvlJc w:val="left"/>
    </w:lvl>
  </w:abstractNum>
  <w:abstractNum w:abstractNumId="18" w15:restartNumberingAfterBreak="0">
    <w:nsid w:val="4A76584B"/>
    <w:multiLevelType w:val="hybridMultilevel"/>
    <w:tmpl w:val="0EEA892A"/>
    <w:lvl w:ilvl="0" w:tplc="A3B6098A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6C962BEC">
      <w:numFmt w:val="decimal"/>
      <w:lvlText w:val=""/>
      <w:lvlJc w:val="left"/>
    </w:lvl>
    <w:lvl w:ilvl="2" w:tplc="4698CB3C">
      <w:numFmt w:val="decimal"/>
      <w:lvlText w:val=""/>
      <w:lvlJc w:val="left"/>
    </w:lvl>
    <w:lvl w:ilvl="3" w:tplc="4288B9EE">
      <w:numFmt w:val="decimal"/>
      <w:lvlText w:val=""/>
      <w:lvlJc w:val="left"/>
    </w:lvl>
    <w:lvl w:ilvl="4" w:tplc="62E8E6B4">
      <w:numFmt w:val="decimal"/>
      <w:lvlText w:val=""/>
      <w:lvlJc w:val="left"/>
    </w:lvl>
    <w:lvl w:ilvl="5" w:tplc="330CA896">
      <w:numFmt w:val="decimal"/>
      <w:lvlText w:val=""/>
      <w:lvlJc w:val="left"/>
    </w:lvl>
    <w:lvl w:ilvl="6" w:tplc="F11073E0">
      <w:numFmt w:val="decimal"/>
      <w:lvlText w:val=""/>
      <w:lvlJc w:val="left"/>
    </w:lvl>
    <w:lvl w:ilvl="7" w:tplc="DF962F5E">
      <w:numFmt w:val="decimal"/>
      <w:lvlText w:val=""/>
      <w:lvlJc w:val="left"/>
    </w:lvl>
    <w:lvl w:ilvl="8" w:tplc="9C3E8688">
      <w:numFmt w:val="decimal"/>
      <w:lvlText w:val=""/>
      <w:lvlJc w:val="left"/>
    </w:lvl>
  </w:abstractNum>
  <w:abstractNum w:abstractNumId="19" w15:restartNumberingAfterBreak="0">
    <w:nsid w:val="4B316C93"/>
    <w:multiLevelType w:val="hybridMultilevel"/>
    <w:tmpl w:val="19D2F41A"/>
    <w:lvl w:ilvl="0" w:tplc="4FCA913A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9C1C52">
      <w:numFmt w:val="decimal"/>
      <w:lvlText w:val=""/>
      <w:lvlJc w:val="left"/>
    </w:lvl>
    <w:lvl w:ilvl="2" w:tplc="C4521214">
      <w:numFmt w:val="decimal"/>
      <w:lvlText w:val=""/>
      <w:lvlJc w:val="left"/>
    </w:lvl>
    <w:lvl w:ilvl="3" w:tplc="FA8C8D94">
      <w:numFmt w:val="decimal"/>
      <w:lvlText w:val=""/>
      <w:lvlJc w:val="left"/>
    </w:lvl>
    <w:lvl w:ilvl="4" w:tplc="02E6A972">
      <w:numFmt w:val="decimal"/>
      <w:lvlText w:val=""/>
      <w:lvlJc w:val="left"/>
    </w:lvl>
    <w:lvl w:ilvl="5" w:tplc="2DDE1200">
      <w:numFmt w:val="decimal"/>
      <w:lvlText w:val=""/>
      <w:lvlJc w:val="left"/>
    </w:lvl>
    <w:lvl w:ilvl="6" w:tplc="DFBCD25E">
      <w:numFmt w:val="decimal"/>
      <w:lvlText w:val=""/>
      <w:lvlJc w:val="left"/>
    </w:lvl>
    <w:lvl w:ilvl="7" w:tplc="07E67BB2">
      <w:numFmt w:val="decimal"/>
      <w:lvlText w:val=""/>
      <w:lvlJc w:val="left"/>
    </w:lvl>
    <w:lvl w:ilvl="8" w:tplc="BC06B6A2">
      <w:numFmt w:val="decimal"/>
      <w:lvlText w:val=""/>
      <w:lvlJc w:val="left"/>
    </w:lvl>
  </w:abstractNum>
  <w:abstractNum w:abstractNumId="20" w15:restartNumberingAfterBreak="0">
    <w:nsid w:val="4D3F3AA1"/>
    <w:multiLevelType w:val="hybridMultilevel"/>
    <w:tmpl w:val="DB12C3CA"/>
    <w:lvl w:ilvl="0" w:tplc="A0E6165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96E8C004">
      <w:numFmt w:val="decimal"/>
      <w:lvlText w:val=""/>
      <w:lvlJc w:val="left"/>
    </w:lvl>
    <w:lvl w:ilvl="2" w:tplc="EB98E3D0">
      <w:numFmt w:val="decimal"/>
      <w:lvlText w:val=""/>
      <w:lvlJc w:val="left"/>
    </w:lvl>
    <w:lvl w:ilvl="3" w:tplc="547C76C0">
      <w:numFmt w:val="decimal"/>
      <w:lvlText w:val=""/>
      <w:lvlJc w:val="left"/>
    </w:lvl>
    <w:lvl w:ilvl="4" w:tplc="209ECC6C">
      <w:numFmt w:val="decimal"/>
      <w:lvlText w:val=""/>
      <w:lvlJc w:val="left"/>
    </w:lvl>
    <w:lvl w:ilvl="5" w:tplc="F6D854B2">
      <w:numFmt w:val="decimal"/>
      <w:lvlText w:val=""/>
      <w:lvlJc w:val="left"/>
    </w:lvl>
    <w:lvl w:ilvl="6" w:tplc="B9FEB41E">
      <w:numFmt w:val="decimal"/>
      <w:lvlText w:val=""/>
      <w:lvlJc w:val="left"/>
    </w:lvl>
    <w:lvl w:ilvl="7" w:tplc="7D5CBB14">
      <w:numFmt w:val="decimal"/>
      <w:lvlText w:val=""/>
      <w:lvlJc w:val="left"/>
    </w:lvl>
    <w:lvl w:ilvl="8" w:tplc="8D74205C">
      <w:numFmt w:val="decimal"/>
      <w:lvlText w:val=""/>
      <w:lvlJc w:val="left"/>
    </w:lvl>
  </w:abstractNum>
  <w:abstractNum w:abstractNumId="21" w15:restartNumberingAfterBreak="0">
    <w:nsid w:val="4DD471FB"/>
    <w:multiLevelType w:val="hybridMultilevel"/>
    <w:tmpl w:val="1618F8D4"/>
    <w:lvl w:ilvl="0" w:tplc="9A24DD4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67AEDF10">
      <w:numFmt w:val="decimal"/>
      <w:lvlText w:val=""/>
      <w:lvlJc w:val="left"/>
    </w:lvl>
    <w:lvl w:ilvl="2" w:tplc="F850E12A">
      <w:numFmt w:val="decimal"/>
      <w:lvlText w:val=""/>
      <w:lvlJc w:val="left"/>
    </w:lvl>
    <w:lvl w:ilvl="3" w:tplc="A210B03A">
      <w:numFmt w:val="decimal"/>
      <w:lvlText w:val=""/>
      <w:lvlJc w:val="left"/>
    </w:lvl>
    <w:lvl w:ilvl="4" w:tplc="2F54F6AE">
      <w:numFmt w:val="decimal"/>
      <w:lvlText w:val=""/>
      <w:lvlJc w:val="left"/>
    </w:lvl>
    <w:lvl w:ilvl="5" w:tplc="FAC2A84E">
      <w:numFmt w:val="decimal"/>
      <w:lvlText w:val=""/>
      <w:lvlJc w:val="left"/>
    </w:lvl>
    <w:lvl w:ilvl="6" w:tplc="36D4CF18">
      <w:numFmt w:val="decimal"/>
      <w:lvlText w:val=""/>
      <w:lvlJc w:val="left"/>
    </w:lvl>
    <w:lvl w:ilvl="7" w:tplc="4130240C">
      <w:numFmt w:val="decimal"/>
      <w:lvlText w:val=""/>
      <w:lvlJc w:val="left"/>
    </w:lvl>
    <w:lvl w:ilvl="8" w:tplc="44F4A150">
      <w:numFmt w:val="decimal"/>
      <w:lvlText w:val=""/>
      <w:lvlJc w:val="left"/>
    </w:lvl>
  </w:abstractNum>
  <w:abstractNum w:abstractNumId="22" w15:restartNumberingAfterBreak="0">
    <w:nsid w:val="4F8E3CD5"/>
    <w:multiLevelType w:val="hybridMultilevel"/>
    <w:tmpl w:val="0EE4ADD2"/>
    <w:lvl w:ilvl="0" w:tplc="F44A4CA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44527552">
      <w:numFmt w:val="decimal"/>
      <w:lvlText w:val=""/>
      <w:lvlJc w:val="left"/>
    </w:lvl>
    <w:lvl w:ilvl="2" w:tplc="5EFAF26A">
      <w:numFmt w:val="decimal"/>
      <w:lvlText w:val=""/>
      <w:lvlJc w:val="left"/>
    </w:lvl>
    <w:lvl w:ilvl="3" w:tplc="4EC44E14">
      <w:numFmt w:val="decimal"/>
      <w:lvlText w:val=""/>
      <w:lvlJc w:val="left"/>
    </w:lvl>
    <w:lvl w:ilvl="4" w:tplc="A9324DAA">
      <w:numFmt w:val="decimal"/>
      <w:lvlText w:val=""/>
      <w:lvlJc w:val="left"/>
    </w:lvl>
    <w:lvl w:ilvl="5" w:tplc="DF3EEE2A">
      <w:numFmt w:val="decimal"/>
      <w:lvlText w:val=""/>
      <w:lvlJc w:val="left"/>
    </w:lvl>
    <w:lvl w:ilvl="6" w:tplc="65A84C6C">
      <w:numFmt w:val="decimal"/>
      <w:lvlText w:val=""/>
      <w:lvlJc w:val="left"/>
    </w:lvl>
    <w:lvl w:ilvl="7" w:tplc="60D8A7D2">
      <w:numFmt w:val="decimal"/>
      <w:lvlText w:val=""/>
      <w:lvlJc w:val="left"/>
    </w:lvl>
    <w:lvl w:ilvl="8" w:tplc="96282324">
      <w:numFmt w:val="decimal"/>
      <w:lvlText w:val=""/>
      <w:lvlJc w:val="left"/>
    </w:lvl>
  </w:abstractNum>
  <w:abstractNum w:abstractNumId="23" w15:restartNumberingAfterBreak="0">
    <w:nsid w:val="50797C88"/>
    <w:multiLevelType w:val="hybridMultilevel"/>
    <w:tmpl w:val="86A4EB2A"/>
    <w:lvl w:ilvl="0" w:tplc="5C6AB73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57387A0E">
      <w:numFmt w:val="decimal"/>
      <w:lvlText w:val=""/>
      <w:lvlJc w:val="left"/>
    </w:lvl>
    <w:lvl w:ilvl="2" w:tplc="EA66CFCA">
      <w:numFmt w:val="decimal"/>
      <w:lvlText w:val=""/>
      <w:lvlJc w:val="left"/>
    </w:lvl>
    <w:lvl w:ilvl="3" w:tplc="F4D07028">
      <w:numFmt w:val="decimal"/>
      <w:lvlText w:val=""/>
      <w:lvlJc w:val="left"/>
    </w:lvl>
    <w:lvl w:ilvl="4" w:tplc="2292AEBC">
      <w:numFmt w:val="decimal"/>
      <w:lvlText w:val=""/>
      <w:lvlJc w:val="left"/>
    </w:lvl>
    <w:lvl w:ilvl="5" w:tplc="E7E6F4E4">
      <w:numFmt w:val="decimal"/>
      <w:lvlText w:val=""/>
      <w:lvlJc w:val="left"/>
    </w:lvl>
    <w:lvl w:ilvl="6" w:tplc="5638034A">
      <w:numFmt w:val="decimal"/>
      <w:lvlText w:val=""/>
      <w:lvlJc w:val="left"/>
    </w:lvl>
    <w:lvl w:ilvl="7" w:tplc="973C3D0C">
      <w:numFmt w:val="decimal"/>
      <w:lvlText w:val=""/>
      <w:lvlJc w:val="left"/>
    </w:lvl>
    <w:lvl w:ilvl="8" w:tplc="853E3F9A">
      <w:numFmt w:val="decimal"/>
      <w:lvlText w:val=""/>
      <w:lvlJc w:val="left"/>
    </w:lvl>
  </w:abstractNum>
  <w:abstractNum w:abstractNumId="24" w15:restartNumberingAfterBreak="0">
    <w:nsid w:val="5321598F"/>
    <w:multiLevelType w:val="hybridMultilevel"/>
    <w:tmpl w:val="19EAAD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34BBA"/>
    <w:multiLevelType w:val="hybridMultilevel"/>
    <w:tmpl w:val="B8682362"/>
    <w:lvl w:ilvl="0" w:tplc="D6DC33D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B6EC1F5A">
      <w:numFmt w:val="decimal"/>
      <w:lvlText w:val=""/>
      <w:lvlJc w:val="left"/>
    </w:lvl>
    <w:lvl w:ilvl="2" w:tplc="276CBFD4">
      <w:numFmt w:val="decimal"/>
      <w:lvlText w:val=""/>
      <w:lvlJc w:val="left"/>
    </w:lvl>
    <w:lvl w:ilvl="3" w:tplc="BFB62964">
      <w:numFmt w:val="decimal"/>
      <w:lvlText w:val=""/>
      <w:lvlJc w:val="left"/>
    </w:lvl>
    <w:lvl w:ilvl="4" w:tplc="55A0704A">
      <w:numFmt w:val="decimal"/>
      <w:lvlText w:val=""/>
      <w:lvlJc w:val="left"/>
    </w:lvl>
    <w:lvl w:ilvl="5" w:tplc="2924D34C">
      <w:numFmt w:val="decimal"/>
      <w:lvlText w:val=""/>
      <w:lvlJc w:val="left"/>
    </w:lvl>
    <w:lvl w:ilvl="6" w:tplc="87183CCE">
      <w:numFmt w:val="decimal"/>
      <w:lvlText w:val=""/>
      <w:lvlJc w:val="left"/>
    </w:lvl>
    <w:lvl w:ilvl="7" w:tplc="38B8795A">
      <w:numFmt w:val="decimal"/>
      <w:lvlText w:val=""/>
      <w:lvlJc w:val="left"/>
    </w:lvl>
    <w:lvl w:ilvl="8" w:tplc="0EA65774">
      <w:numFmt w:val="decimal"/>
      <w:lvlText w:val=""/>
      <w:lvlJc w:val="left"/>
    </w:lvl>
  </w:abstractNum>
  <w:abstractNum w:abstractNumId="26" w15:restartNumberingAfterBreak="0">
    <w:nsid w:val="59B11810"/>
    <w:multiLevelType w:val="hybridMultilevel"/>
    <w:tmpl w:val="9182C2B0"/>
    <w:lvl w:ilvl="0" w:tplc="7A00B59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F43C44DE">
      <w:numFmt w:val="decimal"/>
      <w:lvlText w:val=""/>
      <w:lvlJc w:val="left"/>
    </w:lvl>
    <w:lvl w:ilvl="2" w:tplc="5748C30A">
      <w:numFmt w:val="decimal"/>
      <w:lvlText w:val=""/>
      <w:lvlJc w:val="left"/>
    </w:lvl>
    <w:lvl w:ilvl="3" w:tplc="134E15BC">
      <w:numFmt w:val="decimal"/>
      <w:lvlText w:val=""/>
      <w:lvlJc w:val="left"/>
    </w:lvl>
    <w:lvl w:ilvl="4" w:tplc="4D981976">
      <w:numFmt w:val="decimal"/>
      <w:lvlText w:val=""/>
      <w:lvlJc w:val="left"/>
    </w:lvl>
    <w:lvl w:ilvl="5" w:tplc="4A1EDCA4">
      <w:numFmt w:val="decimal"/>
      <w:lvlText w:val=""/>
      <w:lvlJc w:val="left"/>
    </w:lvl>
    <w:lvl w:ilvl="6" w:tplc="408ED7E2">
      <w:numFmt w:val="decimal"/>
      <w:lvlText w:val=""/>
      <w:lvlJc w:val="left"/>
    </w:lvl>
    <w:lvl w:ilvl="7" w:tplc="8DA460BC">
      <w:numFmt w:val="decimal"/>
      <w:lvlText w:val=""/>
      <w:lvlJc w:val="left"/>
    </w:lvl>
    <w:lvl w:ilvl="8" w:tplc="A572B956">
      <w:numFmt w:val="decimal"/>
      <w:lvlText w:val=""/>
      <w:lvlJc w:val="left"/>
    </w:lvl>
  </w:abstractNum>
  <w:abstractNum w:abstractNumId="27" w15:restartNumberingAfterBreak="0">
    <w:nsid w:val="5BBF70AA"/>
    <w:multiLevelType w:val="hybridMultilevel"/>
    <w:tmpl w:val="075471B2"/>
    <w:lvl w:ilvl="0" w:tplc="227C532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EBBAC0E8">
      <w:numFmt w:val="decimal"/>
      <w:lvlText w:val=""/>
      <w:lvlJc w:val="left"/>
    </w:lvl>
    <w:lvl w:ilvl="2" w:tplc="01B61278">
      <w:numFmt w:val="decimal"/>
      <w:lvlText w:val=""/>
      <w:lvlJc w:val="left"/>
    </w:lvl>
    <w:lvl w:ilvl="3" w:tplc="E11A62D6">
      <w:numFmt w:val="decimal"/>
      <w:lvlText w:val=""/>
      <w:lvlJc w:val="left"/>
    </w:lvl>
    <w:lvl w:ilvl="4" w:tplc="19F2C45A">
      <w:numFmt w:val="decimal"/>
      <w:lvlText w:val=""/>
      <w:lvlJc w:val="left"/>
    </w:lvl>
    <w:lvl w:ilvl="5" w:tplc="5CFC9C0C">
      <w:numFmt w:val="decimal"/>
      <w:lvlText w:val=""/>
      <w:lvlJc w:val="left"/>
    </w:lvl>
    <w:lvl w:ilvl="6" w:tplc="EA729CC4">
      <w:numFmt w:val="decimal"/>
      <w:lvlText w:val=""/>
      <w:lvlJc w:val="left"/>
    </w:lvl>
    <w:lvl w:ilvl="7" w:tplc="72406884">
      <w:numFmt w:val="decimal"/>
      <w:lvlText w:val=""/>
      <w:lvlJc w:val="left"/>
    </w:lvl>
    <w:lvl w:ilvl="8" w:tplc="F79E32E4">
      <w:numFmt w:val="decimal"/>
      <w:lvlText w:val=""/>
      <w:lvlJc w:val="left"/>
    </w:lvl>
  </w:abstractNum>
  <w:abstractNum w:abstractNumId="28" w15:restartNumberingAfterBreak="0">
    <w:nsid w:val="647247A1"/>
    <w:multiLevelType w:val="hybridMultilevel"/>
    <w:tmpl w:val="41129D04"/>
    <w:lvl w:ilvl="0" w:tplc="3F36571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8370FA90">
      <w:numFmt w:val="decimal"/>
      <w:lvlText w:val=""/>
      <w:lvlJc w:val="left"/>
    </w:lvl>
    <w:lvl w:ilvl="2" w:tplc="1A6E73CE">
      <w:numFmt w:val="decimal"/>
      <w:lvlText w:val=""/>
      <w:lvlJc w:val="left"/>
    </w:lvl>
    <w:lvl w:ilvl="3" w:tplc="036E1508">
      <w:numFmt w:val="decimal"/>
      <w:lvlText w:val=""/>
      <w:lvlJc w:val="left"/>
    </w:lvl>
    <w:lvl w:ilvl="4" w:tplc="13680532">
      <w:numFmt w:val="decimal"/>
      <w:lvlText w:val=""/>
      <w:lvlJc w:val="left"/>
    </w:lvl>
    <w:lvl w:ilvl="5" w:tplc="A064AD12">
      <w:numFmt w:val="decimal"/>
      <w:lvlText w:val=""/>
      <w:lvlJc w:val="left"/>
    </w:lvl>
    <w:lvl w:ilvl="6" w:tplc="213EB2EE">
      <w:numFmt w:val="decimal"/>
      <w:lvlText w:val=""/>
      <w:lvlJc w:val="left"/>
    </w:lvl>
    <w:lvl w:ilvl="7" w:tplc="09D69904">
      <w:numFmt w:val="decimal"/>
      <w:lvlText w:val=""/>
      <w:lvlJc w:val="left"/>
    </w:lvl>
    <w:lvl w:ilvl="8" w:tplc="BCB86D76">
      <w:numFmt w:val="decimal"/>
      <w:lvlText w:val=""/>
      <w:lvlJc w:val="left"/>
    </w:lvl>
  </w:abstractNum>
  <w:abstractNum w:abstractNumId="29" w15:restartNumberingAfterBreak="0">
    <w:nsid w:val="69301752"/>
    <w:multiLevelType w:val="hybridMultilevel"/>
    <w:tmpl w:val="9CB6A0AA"/>
    <w:lvl w:ilvl="0" w:tplc="249CDD8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C3A62E44">
      <w:numFmt w:val="decimal"/>
      <w:lvlText w:val=""/>
      <w:lvlJc w:val="left"/>
    </w:lvl>
    <w:lvl w:ilvl="2" w:tplc="41B05EC4">
      <w:numFmt w:val="decimal"/>
      <w:lvlText w:val=""/>
      <w:lvlJc w:val="left"/>
    </w:lvl>
    <w:lvl w:ilvl="3" w:tplc="FAFE8E14">
      <w:numFmt w:val="decimal"/>
      <w:lvlText w:val=""/>
      <w:lvlJc w:val="left"/>
    </w:lvl>
    <w:lvl w:ilvl="4" w:tplc="1A1866EC">
      <w:numFmt w:val="decimal"/>
      <w:lvlText w:val=""/>
      <w:lvlJc w:val="left"/>
    </w:lvl>
    <w:lvl w:ilvl="5" w:tplc="E6F2550A">
      <w:numFmt w:val="decimal"/>
      <w:lvlText w:val=""/>
      <w:lvlJc w:val="left"/>
    </w:lvl>
    <w:lvl w:ilvl="6" w:tplc="BB36B5E2">
      <w:numFmt w:val="decimal"/>
      <w:lvlText w:val=""/>
      <w:lvlJc w:val="left"/>
    </w:lvl>
    <w:lvl w:ilvl="7" w:tplc="0C0EFB28">
      <w:numFmt w:val="decimal"/>
      <w:lvlText w:val=""/>
      <w:lvlJc w:val="left"/>
    </w:lvl>
    <w:lvl w:ilvl="8" w:tplc="F19C70F0">
      <w:numFmt w:val="decimal"/>
      <w:lvlText w:val=""/>
      <w:lvlJc w:val="left"/>
    </w:lvl>
  </w:abstractNum>
  <w:abstractNum w:abstractNumId="30" w15:restartNumberingAfterBreak="0">
    <w:nsid w:val="6C804906"/>
    <w:multiLevelType w:val="hybridMultilevel"/>
    <w:tmpl w:val="7F904FB8"/>
    <w:lvl w:ilvl="0" w:tplc="BA44500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106070F2">
      <w:numFmt w:val="decimal"/>
      <w:lvlText w:val=""/>
      <w:lvlJc w:val="left"/>
    </w:lvl>
    <w:lvl w:ilvl="2" w:tplc="5EDC7CFA">
      <w:numFmt w:val="decimal"/>
      <w:lvlText w:val=""/>
      <w:lvlJc w:val="left"/>
    </w:lvl>
    <w:lvl w:ilvl="3" w:tplc="F6FE37FA">
      <w:numFmt w:val="decimal"/>
      <w:lvlText w:val=""/>
      <w:lvlJc w:val="left"/>
    </w:lvl>
    <w:lvl w:ilvl="4" w:tplc="E2322A2C">
      <w:numFmt w:val="decimal"/>
      <w:lvlText w:val=""/>
      <w:lvlJc w:val="left"/>
    </w:lvl>
    <w:lvl w:ilvl="5" w:tplc="2AA6A792">
      <w:numFmt w:val="decimal"/>
      <w:lvlText w:val=""/>
      <w:lvlJc w:val="left"/>
    </w:lvl>
    <w:lvl w:ilvl="6" w:tplc="0ADCFD64">
      <w:numFmt w:val="decimal"/>
      <w:lvlText w:val=""/>
      <w:lvlJc w:val="left"/>
    </w:lvl>
    <w:lvl w:ilvl="7" w:tplc="7D746EC8">
      <w:numFmt w:val="decimal"/>
      <w:lvlText w:val=""/>
      <w:lvlJc w:val="left"/>
    </w:lvl>
    <w:lvl w:ilvl="8" w:tplc="780CEBB0">
      <w:numFmt w:val="decimal"/>
      <w:lvlText w:val=""/>
      <w:lvlJc w:val="left"/>
    </w:lvl>
  </w:abstractNum>
  <w:abstractNum w:abstractNumId="31" w15:restartNumberingAfterBreak="0">
    <w:nsid w:val="6DBD3063"/>
    <w:multiLevelType w:val="hybridMultilevel"/>
    <w:tmpl w:val="F69A3118"/>
    <w:lvl w:ilvl="0" w:tplc="D9C2655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953CAE5A">
      <w:numFmt w:val="decimal"/>
      <w:lvlText w:val=""/>
      <w:lvlJc w:val="left"/>
    </w:lvl>
    <w:lvl w:ilvl="2" w:tplc="557A9106">
      <w:numFmt w:val="decimal"/>
      <w:lvlText w:val=""/>
      <w:lvlJc w:val="left"/>
    </w:lvl>
    <w:lvl w:ilvl="3" w:tplc="36B06864">
      <w:numFmt w:val="decimal"/>
      <w:lvlText w:val=""/>
      <w:lvlJc w:val="left"/>
    </w:lvl>
    <w:lvl w:ilvl="4" w:tplc="2836EDC0">
      <w:numFmt w:val="decimal"/>
      <w:lvlText w:val=""/>
      <w:lvlJc w:val="left"/>
    </w:lvl>
    <w:lvl w:ilvl="5" w:tplc="87206D0C">
      <w:numFmt w:val="decimal"/>
      <w:lvlText w:val=""/>
      <w:lvlJc w:val="left"/>
    </w:lvl>
    <w:lvl w:ilvl="6" w:tplc="D9D0A320">
      <w:numFmt w:val="decimal"/>
      <w:lvlText w:val=""/>
      <w:lvlJc w:val="left"/>
    </w:lvl>
    <w:lvl w:ilvl="7" w:tplc="B5B6B4C6">
      <w:numFmt w:val="decimal"/>
      <w:lvlText w:val=""/>
      <w:lvlJc w:val="left"/>
    </w:lvl>
    <w:lvl w:ilvl="8" w:tplc="C8760B5A">
      <w:numFmt w:val="decimal"/>
      <w:lvlText w:val=""/>
      <w:lvlJc w:val="left"/>
    </w:lvl>
  </w:abstractNum>
  <w:abstractNum w:abstractNumId="32" w15:restartNumberingAfterBreak="0">
    <w:nsid w:val="6E353348"/>
    <w:multiLevelType w:val="hybridMultilevel"/>
    <w:tmpl w:val="181C489A"/>
    <w:lvl w:ilvl="0" w:tplc="A51E192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91D06A32">
      <w:numFmt w:val="decimal"/>
      <w:lvlText w:val=""/>
      <w:lvlJc w:val="left"/>
    </w:lvl>
    <w:lvl w:ilvl="2" w:tplc="62FE2AD4">
      <w:numFmt w:val="decimal"/>
      <w:lvlText w:val=""/>
      <w:lvlJc w:val="left"/>
    </w:lvl>
    <w:lvl w:ilvl="3" w:tplc="7F741BEA">
      <w:numFmt w:val="decimal"/>
      <w:lvlText w:val=""/>
      <w:lvlJc w:val="left"/>
    </w:lvl>
    <w:lvl w:ilvl="4" w:tplc="63BCA812">
      <w:numFmt w:val="decimal"/>
      <w:lvlText w:val=""/>
      <w:lvlJc w:val="left"/>
    </w:lvl>
    <w:lvl w:ilvl="5" w:tplc="454E0F40">
      <w:numFmt w:val="decimal"/>
      <w:lvlText w:val=""/>
      <w:lvlJc w:val="left"/>
    </w:lvl>
    <w:lvl w:ilvl="6" w:tplc="8A72CC6E">
      <w:numFmt w:val="decimal"/>
      <w:lvlText w:val=""/>
      <w:lvlJc w:val="left"/>
    </w:lvl>
    <w:lvl w:ilvl="7" w:tplc="388CD3C6">
      <w:numFmt w:val="decimal"/>
      <w:lvlText w:val=""/>
      <w:lvlJc w:val="left"/>
    </w:lvl>
    <w:lvl w:ilvl="8" w:tplc="04D487CE">
      <w:numFmt w:val="decimal"/>
      <w:lvlText w:val=""/>
      <w:lvlJc w:val="left"/>
    </w:lvl>
  </w:abstractNum>
  <w:abstractNum w:abstractNumId="33" w15:restartNumberingAfterBreak="0">
    <w:nsid w:val="74984E5E"/>
    <w:multiLevelType w:val="hybridMultilevel"/>
    <w:tmpl w:val="878C8DD0"/>
    <w:lvl w:ilvl="0" w:tplc="D520E2D0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A3E2952">
      <w:numFmt w:val="decimal"/>
      <w:lvlText w:val=""/>
      <w:lvlJc w:val="left"/>
    </w:lvl>
    <w:lvl w:ilvl="2" w:tplc="8EEC9C16">
      <w:numFmt w:val="decimal"/>
      <w:lvlText w:val=""/>
      <w:lvlJc w:val="left"/>
    </w:lvl>
    <w:lvl w:ilvl="3" w:tplc="6C74214E">
      <w:numFmt w:val="decimal"/>
      <w:lvlText w:val=""/>
      <w:lvlJc w:val="left"/>
    </w:lvl>
    <w:lvl w:ilvl="4" w:tplc="FF06210C">
      <w:numFmt w:val="decimal"/>
      <w:lvlText w:val=""/>
      <w:lvlJc w:val="left"/>
    </w:lvl>
    <w:lvl w:ilvl="5" w:tplc="4FF028F8">
      <w:numFmt w:val="decimal"/>
      <w:lvlText w:val=""/>
      <w:lvlJc w:val="left"/>
    </w:lvl>
    <w:lvl w:ilvl="6" w:tplc="FB604466">
      <w:numFmt w:val="decimal"/>
      <w:lvlText w:val=""/>
      <w:lvlJc w:val="left"/>
    </w:lvl>
    <w:lvl w:ilvl="7" w:tplc="7F845FE6">
      <w:numFmt w:val="decimal"/>
      <w:lvlText w:val=""/>
      <w:lvlJc w:val="left"/>
    </w:lvl>
    <w:lvl w:ilvl="8" w:tplc="95FC6B5A">
      <w:numFmt w:val="decimal"/>
      <w:lvlText w:val=""/>
      <w:lvlJc w:val="left"/>
    </w:lvl>
  </w:abstractNum>
  <w:abstractNum w:abstractNumId="34" w15:restartNumberingAfterBreak="0">
    <w:nsid w:val="75976EC0"/>
    <w:multiLevelType w:val="hybridMultilevel"/>
    <w:tmpl w:val="FA2C21C4"/>
    <w:lvl w:ilvl="0" w:tplc="A2DC507A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BC5CB114">
      <w:numFmt w:val="decimal"/>
      <w:lvlText w:val=""/>
      <w:lvlJc w:val="left"/>
    </w:lvl>
    <w:lvl w:ilvl="2" w:tplc="E0665E74">
      <w:numFmt w:val="decimal"/>
      <w:lvlText w:val=""/>
      <w:lvlJc w:val="left"/>
    </w:lvl>
    <w:lvl w:ilvl="3" w:tplc="17F8D638">
      <w:numFmt w:val="decimal"/>
      <w:lvlText w:val=""/>
      <w:lvlJc w:val="left"/>
    </w:lvl>
    <w:lvl w:ilvl="4" w:tplc="A1388188">
      <w:numFmt w:val="decimal"/>
      <w:lvlText w:val=""/>
      <w:lvlJc w:val="left"/>
    </w:lvl>
    <w:lvl w:ilvl="5" w:tplc="DA8E11A4">
      <w:numFmt w:val="decimal"/>
      <w:lvlText w:val=""/>
      <w:lvlJc w:val="left"/>
    </w:lvl>
    <w:lvl w:ilvl="6" w:tplc="10445DCC">
      <w:numFmt w:val="decimal"/>
      <w:lvlText w:val=""/>
      <w:lvlJc w:val="left"/>
    </w:lvl>
    <w:lvl w:ilvl="7" w:tplc="BF50F6AC">
      <w:numFmt w:val="decimal"/>
      <w:lvlText w:val=""/>
      <w:lvlJc w:val="left"/>
    </w:lvl>
    <w:lvl w:ilvl="8" w:tplc="D4D226D6">
      <w:numFmt w:val="decimal"/>
      <w:lvlText w:val=""/>
      <w:lvlJc w:val="left"/>
    </w:lvl>
  </w:abstractNum>
  <w:abstractNum w:abstractNumId="35" w15:restartNumberingAfterBreak="0">
    <w:nsid w:val="7ECA5334"/>
    <w:multiLevelType w:val="hybridMultilevel"/>
    <w:tmpl w:val="70B2E19E"/>
    <w:lvl w:ilvl="0" w:tplc="F3466652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B5A0372E">
      <w:numFmt w:val="decimal"/>
      <w:lvlText w:val=""/>
      <w:lvlJc w:val="left"/>
    </w:lvl>
    <w:lvl w:ilvl="2" w:tplc="59184372">
      <w:numFmt w:val="decimal"/>
      <w:lvlText w:val=""/>
      <w:lvlJc w:val="left"/>
    </w:lvl>
    <w:lvl w:ilvl="3" w:tplc="D2D25DD0">
      <w:numFmt w:val="decimal"/>
      <w:lvlText w:val=""/>
      <w:lvlJc w:val="left"/>
    </w:lvl>
    <w:lvl w:ilvl="4" w:tplc="8ABA80FC">
      <w:numFmt w:val="decimal"/>
      <w:lvlText w:val=""/>
      <w:lvlJc w:val="left"/>
    </w:lvl>
    <w:lvl w:ilvl="5" w:tplc="A99C4244">
      <w:numFmt w:val="decimal"/>
      <w:lvlText w:val=""/>
      <w:lvlJc w:val="left"/>
    </w:lvl>
    <w:lvl w:ilvl="6" w:tplc="7EDC4CB4">
      <w:numFmt w:val="decimal"/>
      <w:lvlText w:val=""/>
      <w:lvlJc w:val="left"/>
    </w:lvl>
    <w:lvl w:ilvl="7" w:tplc="024432AA">
      <w:numFmt w:val="decimal"/>
      <w:lvlText w:val=""/>
      <w:lvlJc w:val="left"/>
    </w:lvl>
    <w:lvl w:ilvl="8" w:tplc="272E759E">
      <w:numFmt w:val="decimal"/>
      <w:lvlText w:val=""/>
      <w:lvlJc w:val="left"/>
    </w:lvl>
  </w:abstractNum>
  <w:num w:numId="1" w16cid:durableId="1647200931">
    <w:abstractNumId w:val="16"/>
  </w:num>
  <w:num w:numId="2" w16cid:durableId="1877038899">
    <w:abstractNumId w:val="34"/>
  </w:num>
  <w:num w:numId="3" w16cid:durableId="983007205">
    <w:abstractNumId w:val="27"/>
  </w:num>
  <w:num w:numId="4" w16cid:durableId="807013267">
    <w:abstractNumId w:val="4"/>
  </w:num>
  <w:num w:numId="5" w16cid:durableId="740717773">
    <w:abstractNumId w:val="35"/>
  </w:num>
  <w:num w:numId="6" w16cid:durableId="1931810572">
    <w:abstractNumId w:val="32"/>
  </w:num>
  <w:num w:numId="7" w16cid:durableId="294720149">
    <w:abstractNumId w:val="21"/>
  </w:num>
  <w:num w:numId="8" w16cid:durableId="997998534">
    <w:abstractNumId w:val="15"/>
  </w:num>
  <w:num w:numId="9" w16cid:durableId="1288120935">
    <w:abstractNumId w:val="8"/>
  </w:num>
  <w:num w:numId="10" w16cid:durableId="1394350270">
    <w:abstractNumId w:val="12"/>
  </w:num>
  <w:num w:numId="11" w16cid:durableId="236257496">
    <w:abstractNumId w:val="10"/>
  </w:num>
  <w:num w:numId="12" w16cid:durableId="1127971838">
    <w:abstractNumId w:val="23"/>
  </w:num>
  <w:num w:numId="13" w16cid:durableId="492373670">
    <w:abstractNumId w:val="7"/>
  </w:num>
  <w:num w:numId="14" w16cid:durableId="1351371655">
    <w:abstractNumId w:val="18"/>
  </w:num>
  <w:num w:numId="15" w16cid:durableId="1932810659">
    <w:abstractNumId w:val="17"/>
  </w:num>
  <w:num w:numId="16" w16cid:durableId="1383554024">
    <w:abstractNumId w:val="31"/>
  </w:num>
  <w:num w:numId="17" w16cid:durableId="156238010">
    <w:abstractNumId w:val="11"/>
  </w:num>
  <w:num w:numId="18" w16cid:durableId="1348293639">
    <w:abstractNumId w:val="0"/>
  </w:num>
  <w:num w:numId="19" w16cid:durableId="1102840924">
    <w:abstractNumId w:val="9"/>
  </w:num>
  <w:num w:numId="20" w16cid:durableId="493030365">
    <w:abstractNumId w:val="6"/>
  </w:num>
  <w:num w:numId="21" w16cid:durableId="581448834">
    <w:abstractNumId w:val="5"/>
  </w:num>
  <w:num w:numId="22" w16cid:durableId="1766412910">
    <w:abstractNumId w:val="13"/>
  </w:num>
  <w:num w:numId="23" w16cid:durableId="2135782308">
    <w:abstractNumId w:val="14"/>
  </w:num>
  <w:num w:numId="24" w16cid:durableId="1042094513">
    <w:abstractNumId w:val="20"/>
  </w:num>
  <w:num w:numId="25" w16cid:durableId="1467164385">
    <w:abstractNumId w:val="28"/>
  </w:num>
  <w:num w:numId="26" w16cid:durableId="1341422550">
    <w:abstractNumId w:val="33"/>
  </w:num>
  <w:num w:numId="27" w16cid:durableId="1566837717">
    <w:abstractNumId w:val="3"/>
  </w:num>
  <w:num w:numId="28" w16cid:durableId="2055764566">
    <w:abstractNumId w:val="25"/>
  </w:num>
  <w:num w:numId="29" w16cid:durableId="1826627551">
    <w:abstractNumId w:val="1"/>
  </w:num>
  <w:num w:numId="30" w16cid:durableId="1088504479">
    <w:abstractNumId w:val="29"/>
  </w:num>
  <w:num w:numId="31" w16cid:durableId="1794859862">
    <w:abstractNumId w:val="30"/>
  </w:num>
  <w:num w:numId="32" w16cid:durableId="2035768308">
    <w:abstractNumId w:val="26"/>
  </w:num>
  <w:num w:numId="33" w16cid:durableId="2123377999">
    <w:abstractNumId w:val="2"/>
  </w:num>
  <w:num w:numId="34" w16cid:durableId="1064597030">
    <w:abstractNumId w:val="22"/>
  </w:num>
  <w:num w:numId="35" w16cid:durableId="696588325">
    <w:abstractNumId w:val="19"/>
  </w:num>
  <w:num w:numId="36" w16cid:durableId="100462812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47C"/>
    <w:rsid w:val="00007BC4"/>
    <w:rsid w:val="000C2A6E"/>
    <w:rsid w:val="00223D23"/>
    <w:rsid w:val="00285783"/>
    <w:rsid w:val="00335C99"/>
    <w:rsid w:val="004F025D"/>
    <w:rsid w:val="0053547C"/>
    <w:rsid w:val="00554AF0"/>
    <w:rsid w:val="007E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7D6CB9F"/>
  <w15:docId w15:val="{F37D2C0B-AFB1-4296-BBC8-DAA3B997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Theme="minorHAnsi" w:cstheme="minorBidi"/>
        <w:sz w:val="21"/>
        <w:szCs w:val="22"/>
        <w:lang w:val="de-DE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35C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E01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E01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NormaleTabelle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Listenabsatz">
    <w:name w:val="List Paragraph"/>
    <w:basedOn w:val="Standard"/>
    <w:uiPriority w:val="34"/>
    <w:qFormat/>
    <w:rsid w:val="004F025D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335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35C99"/>
    <w:pPr>
      <w:spacing w:line="259" w:lineRule="auto"/>
      <w:outlineLvl w:val="9"/>
    </w:pPr>
    <w:rPr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E015A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E015A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7E015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7E015A"/>
    <w:pPr>
      <w:spacing w:after="100"/>
      <w:ind w:left="210"/>
    </w:pPr>
  </w:style>
  <w:style w:type="character" w:styleId="Hyperlink">
    <w:name w:val="Hyperlink"/>
    <w:basedOn w:val="Absatz-Standardschriftart"/>
    <w:uiPriority w:val="99"/>
    <w:unhideWhenUsed/>
    <w:rsid w:val="007E015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A359B-F53E-4204-981C-DCFA04ED8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2969</Words>
  <Characters>18706</Characters>
  <Application>Microsoft Office Word</Application>
  <DocSecurity>0</DocSecurity>
  <Lines>155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Friedrich-Loeffler-Institut</Company>
  <LinksUpToDate>false</LinksUpToDate>
  <CharactersWithSpaces>21632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Böhm, Sebastian</cp:lastModifiedBy>
  <cp:revision>4</cp:revision>
  <dcterms:created xsi:type="dcterms:W3CDTF">2025-12-16T13:46:00Z</dcterms:created>
  <dcterms:modified xsi:type="dcterms:W3CDTF">2025-12-16T14:53:00Z</dcterms:modified>
</cp:coreProperties>
</file>